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D5FA0" w14:textId="3C921699" w:rsidR="00825ADB" w:rsidRPr="004D48B4" w:rsidRDefault="004D48B4">
      <w:pPr>
        <w:rPr>
          <w:b/>
          <w:bCs/>
          <w:color w:val="4C94D8" w:themeColor="text2" w:themeTint="80"/>
          <w:sz w:val="28"/>
          <w:szCs w:val="28"/>
        </w:rPr>
      </w:pPr>
      <w:r w:rsidRPr="004D48B4">
        <w:rPr>
          <w:b/>
          <w:bCs/>
          <w:color w:val="4C94D8" w:themeColor="text2" w:themeTint="80"/>
          <w:sz w:val="28"/>
          <w:szCs w:val="28"/>
        </w:rPr>
        <w:t>Shared Care and Locally Commissioned Service Review</w:t>
      </w:r>
    </w:p>
    <w:p w14:paraId="47E31915" w14:textId="77777777" w:rsidR="004D48B4" w:rsidRPr="004D48B4" w:rsidRDefault="004D48B4">
      <w:pPr>
        <w:rPr>
          <w:color w:val="4C94D8" w:themeColor="text2" w:themeTint="80"/>
          <w:sz w:val="24"/>
          <w:szCs w:val="24"/>
        </w:rPr>
      </w:pPr>
    </w:p>
    <w:p w14:paraId="62471F58" w14:textId="3CEC9D36" w:rsidR="00B9704E" w:rsidRDefault="00B9704E">
      <w:pPr>
        <w:rPr>
          <w:b/>
          <w:bCs/>
          <w:sz w:val="24"/>
          <w:szCs w:val="24"/>
        </w:rPr>
      </w:pPr>
      <w:r w:rsidRPr="00B9704E">
        <w:rPr>
          <w:b/>
          <w:bCs/>
          <w:sz w:val="24"/>
          <w:szCs w:val="24"/>
        </w:rPr>
        <w:t>Background</w:t>
      </w:r>
    </w:p>
    <w:p w14:paraId="3635EBEB" w14:textId="77777777" w:rsidR="00B9704E" w:rsidRPr="00B9704E" w:rsidRDefault="00B9704E">
      <w:pPr>
        <w:rPr>
          <w:b/>
          <w:bCs/>
          <w:sz w:val="24"/>
          <w:szCs w:val="24"/>
        </w:rPr>
      </w:pPr>
    </w:p>
    <w:p w14:paraId="09F25B3A" w14:textId="0D6D5F83" w:rsidR="00DF4DA2" w:rsidRDefault="004D48B4" w:rsidP="006E08CC">
      <w:pPr>
        <w:jc w:val="both"/>
        <w:rPr>
          <w:sz w:val="24"/>
          <w:szCs w:val="24"/>
        </w:rPr>
      </w:pPr>
      <w:r>
        <w:rPr>
          <w:sz w:val="24"/>
          <w:szCs w:val="24"/>
        </w:rPr>
        <w:t xml:space="preserve">Over many years, through the Area Prescribing Committee (or equivalent at the time) Surrey Heartlands has agreed </w:t>
      </w:r>
      <w:proofErr w:type="gramStart"/>
      <w:r>
        <w:rPr>
          <w:sz w:val="24"/>
          <w:szCs w:val="24"/>
        </w:rPr>
        <w:t>a number of</w:t>
      </w:r>
      <w:proofErr w:type="gramEnd"/>
      <w:r>
        <w:rPr>
          <w:sz w:val="24"/>
          <w:szCs w:val="24"/>
        </w:rPr>
        <w:t xml:space="preserve"> medications suitable for shared care</w:t>
      </w:r>
      <w:r w:rsidR="00374B8D">
        <w:rPr>
          <w:sz w:val="24"/>
          <w:szCs w:val="24"/>
        </w:rPr>
        <w:t xml:space="preserve"> which have an </w:t>
      </w:r>
      <w:r w:rsidR="00374B8D" w:rsidRPr="00B9704E">
        <w:rPr>
          <w:b/>
          <w:bCs/>
          <w:color w:val="FFC000"/>
          <w:sz w:val="24"/>
          <w:szCs w:val="24"/>
        </w:rPr>
        <w:t>AMBER</w:t>
      </w:r>
      <w:r w:rsidR="00374B8D">
        <w:rPr>
          <w:sz w:val="24"/>
          <w:szCs w:val="24"/>
        </w:rPr>
        <w:t xml:space="preserve"> status on the Joint Formulary/PAD. </w:t>
      </w:r>
      <w:r>
        <w:rPr>
          <w:sz w:val="24"/>
          <w:szCs w:val="24"/>
        </w:rPr>
        <w:t xml:space="preserve">  </w:t>
      </w:r>
      <w:r w:rsidR="008735AF">
        <w:rPr>
          <w:sz w:val="24"/>
          <w:szCs w:val="24"/>
        </w:rPr>
        <w:t xml:space="preserve">Shared </w:t>
      </w:r>
      <w:commentRangeStart w:id="0"/>
      <w:r w:rsidR="007642C4" w:rsidRPr="006E08CC">
        <w:rPr>
          <w:sz w:val="24"/>
          <w:szCs w:val="24"/>
        </w:rPr>
        <w:t>Care requires</w:t>
      </w:r>
      <w:r w:rsidRPr="006E08CC">
        <w:rPr>
          <w:sz w:val="24"/>
          <w:szCs w:val="24"/>
        </w:rPr>
        <w:t xml:space="preserve"> </w:t>
      </w:r>
      <w:commentRangeEnd w:id="0"/>
      <w:r w:rsidR="007642C4" w:rsidRPr="006E08CC">
        <w:rPr>
          <w:rStyle w:val="CommentReference"/>
        </w:rPr>
        <w:commentReference w:id="0"/>
      </w:r>
      <w:r w:rsidRPr="006E08CC">
        <w:rPr>
          <w:sz w:val="24"/>
          <w:szCs w:val="24"/>
        </w:rPr>
        <w:t>an</w:t>
      </w:r>
      <w:r>
        <w:rPr>
          <w:sz w:val="24"/>
          <w:szCs w:val="24"/>
        </w:rPr>
        <w:t xml:space="preserve"> agreement between provider and general practice </w:t>
      </w:r>
      <w:r w:rsidR="00651359">
        <w:rPr>
          <w:sz w:val="24"/>
          <w:szCs w:val="24"/>
        </w:rPr>
        <w:t xml:space="preserve">(GP) </w:t>
      </w:r>
      <w:r>
        <w:rPr>
          <w:sz w:val="24"/>
          <w:szCs w:val="24"/>
        </w:rPr>
        <w:t xml:space="preserve">that outlines responsibilities for prescribing the medicine required by an individual.  Whilst the patient usually remains under the care of a specialist team for the specific indication, the shared care means that the medicine can be prescribed by </w:t>
      </w:r>
      <w:r w:rsidR="00B9704E">
        <w:rPr>
          <w:sz w:val="24"/>
          <w:szCs w:val="24"/>
        </w:rPr>
        <w:t xml:space="preserve">in primary </w:t>
      </w:r>
      <w:r w:rsidR="008735AF">
        <w:rPr>
          <w:sz w:val="24"/>
          <w:szCs w:val="24"/>
        </w:rPr>
        <w:t>care to</w:t>
      </w:r>
      <w:r>
        <w:rPr>
          <w:sz w:val="24"/>
          <w:szCs w:val="24"/>
        </w:rPr>
        <w:t xml:space="preserve"> encourage care closer to home.  Sometimes, but not always</w:t>
      </w:r>
      <w:r w:rsidR="00651359">
        <w:rPr>
          <w:sz w:val="24"/>
          <w:szCs w:val="24"/>
        </w:rPr>
        <w:t>,</w:t>
      </w:r>
      <w:r>
        <w:rPr>
          <w:sz w:val="24"/>
          <w:szCs w:val="24"/>
        </w:rPr>
        <w:t xml:space="preserve"> the medication may require</w:t>
      </w:r>
      <w:r w:rsidR="00651359">
        <w:rPr>
          <w:sz w:val="24"/>
          <w:szCs w:val="24"/>
        </w:rPr>
        <w:t xml:space="preserve"> administration and/or</w:t>
      </w:r>
      <w:r>
        <w:rPr>
          <w:sz w:val="24"/>
          <w:szCs w:val="24"/>
        </w:rPr>
        <w:t xml:space="preserve"> monitoring over and above </w:t>
      </w:r>
      <w:r w:rsidR="00B9704E">
        <w:rPr>
          <w:sz w:val="24"/>
          <w:szCs w:val="24"/>
        </w:rPr>
        <w:t xml:space="preserve">the </w:t>
      </w:r>
      <w:r>
        <w:rPr>
          <w:sz w:val="24"/>
          <w:szCs w:val="24"/>
        </w:rPr>
        <w:t>usual GP contract expectations</w:t>
      </w:r>
      <w:r w:rsidR="00374B8D">
        <w:rPr>
          <w:sz w:val="24"/>
          <w:szCs w:val="24"/>
        </w:rPr>
        <w:t xml:space="preserve"> and if so, payment for this work should be included within the Drug Administration and </w:t>
      </w:r>
      <w:commentRangeStart w:id="1"/>
      <w:r w:rsidR="00374B8D" w:rsidRPr="006E08CC">
        <w:rPr>
          <w:sz w:val="24"/>
          <w:szCs w:val="24"/>
        </w:rPr>
        <w:t xml:space="preserve">Monitoring </w:t>
      </w:r>
      <w:r w:rsidR="007642C4" w:rsidRPr="006E08CC">
        <w:rPr>
          <w:sz w:val="24"/>
          <w:szCs w:val="24"/>
        </w:rPr>
        <w:t xml:space="preserve">Locally Commissioned Service </w:t>
      </w:r>
      <w:commentRangeEnd w:id="1"/>
      <w:r w:rsidR="007642C4" w:rsidRPr="006E08CC">
        <w:rPr>
          <w:rStyle w:val="CommentReference"/>
        </w:rPr>
        <w:commentReference w:id="1"/>
      </w:r>
      <w:r w:rsidR="007642C4" w:rsidRPr="006E08CC">
        <w:rPr>
          <w:sz w:val="24"/>
          <w:szCs w:val="24"/>
        </w:rPr>
        <w:t>(</w:t>
      </w:r>
      <w:r w:rsidR="00374B8D" w:rsidRPr="006E08CC">
        <w:rPr>
          <w:sz w:val="24"/>
          <w:szCs w:val="24"/>
        </w:rPr>
        <w:t>LCS</w:t>
      </w:r>
      <w:r w:rsidR="007642C4">
        <w:rPr>
          <w:sz w:val="24"/>
          <w:szCs w:val="24"/>
        </w:rPr>
        <w:t>)</w:t>
      </w:r>
      <w:r w:rsidR="00374B8D">
        <w:rPr>
          <w:sz w:val="24"/>
          <w:szCs w:val="24"/>
        </w:rPr>
        <w:t>.</w:t>
      </w:r>
    </w:p>
    <w:p w14:paraId="5F9CB820" w14:textId="77777777" w:rsidR="008735AF" w:rsidRDefault="008735AF" w:rsidP="006E08CC">
      <w:pPr>
        <w:jc w:val="both"/>
        <w:rPr>
          <w:sz w:val="24"/>
          <w:szCs w:val="24"/>
        </w:rPr>
      </w:pPr>
    </w:p>
    <w:p w14:paraId="4ABF811B" w14:textId="06C57C73" w:rsidR="008735AF" w:rsidRPr="008735AF" w:rsidRDefault="008735AF" w:rsidP="006E08CC">
      <w:pPr>
        <w:jc w:val="both"/>
        <w:rPr>
          <w:sz w:val="24"/>
          <w:szCs w:val="24"/>
        </w:rPr>
      </w:pPr>
      <w:r>
        <w:rPr>
          <w:sz w:val="24"/>
          <w:szCs w:val="24"/>
        </w:rPr>
        <w:t>I</w:t>
      </w:r>
      <w:r w:rsidRPr="008735AF">
        <w:rPr>
          <w:sz w:val="24"/>
          <w:szCs w:val="24"/>
        </w:rPr>
        <w:t xml:space="preserve">n recent months, </w:t>
      </w:r>
      <w:r>
        <w:rPr>
          <w:sz w:val="24"/>
          <w:szCs w:val="24"/>
        </w:rPr>
        <w:t xml:space="preserve">some </w:t>
      </w:r>
      <w:r w:rsidRPr="008735AF">
        <w:rPr>
          <w:sz w:val="24"/>
          <w:szCs w:val="24"/>
        </w:rPr>
        <w:t>GP practices have raised concerns about being asked to take on shared care arrangements where there is no associated funding for the administration and/or monitoring required. Practices have also highlighted the implications of accepting ongoing clinical responsibility in these circumstances.</w:t>
      </w:r>
    </w:p>
    <w:p w14:paraId="0BE8CE7E" w14:textId="446DC316" w:rsidR="00374B8D" w:rsidRDefault="008735AF" w:rsidP="006E08CC">
      <w:pPr>
        <w:jc w:val="both"/>
        <w:rPr>
          <w:sz w:val="24"/>
          <w:szCs w:val="24"/>
        </w:rPr>
      </w:pPr>
      <w:r w:rsidRPr="008735AF">
        <w:rPr>
          <w:sz w:val="24"/>
          <w:szCs w:val="24"/>
        </w:rPr>
        <w:t>As a result, some practices have issued formal position statements confirming that they will not accept new shared care arrangements where funding is not in place, have discontinued existing shared care in certain situations, and are declining new shared care agreements</w:t>
      </w:r>
      <w:r>
        <w:rPr>
          <w:sz w:val="24"/>
          <w:szCs w:val="24"/>
        </w:rPr>
        <w:t>.</w:t>
      </w:r>
    </w:p>
    <w:p w14:paraId="13BEDF4C" w14:textId="77777777" w:rsidR="008735AF" w:rsidRDefault="008735AF" w:rsidP="006E08CC">
      <w:pPr>
        <w:jc w:val="both"/>
        <w:rPr>
          <w:sz w:val="24"/>
          <w:szCs w:val="24"/>
        </w:rPr>
      </w:pPr>
    </w:p>
    <w:p w14:paraId="0FFC6835" w14:textId="1A507E4A" w:rsidR="00374B8D" w:rsidRDefault="00374B8D" w:rsidP="006E08CC">
      <w:pPr>
        <w:jc w:val="both"/>
        <w:rPr>
          <w:sz w:val="24"/>
          <w:szCs w:val="24"/>
        </w:rPr>
      </w:pPr>
      <w:r>
        <w:rPr>
          <w:sz w:val="24"/>
          <w:szCs w:val="24"/>
        </w:rPr>
        <w:t>As a result of these concerns, there has been a review of all drugs categorised as Amber Shared Care and recommendations have been included in Table 1.</w:t>
      </w:r>
    </w:p>
    <w:p w14:paraId="7ECB210D" w14:textId="625771C8" w:rsidR="00374B8D" w:rsidRDefault="00374B8D" w:rsidP="006E08CC">
      <w:pPr>
        <w:jc w:val="both"/>
        <w:rPr>
          <w:sz w:val="24"/>
          <w:szCs w:val="24"/>
        </w:rPr>
      </w:pPr>
      <w:r>
        <w:rPr>
          <w:sz w:val="24"/>
          <w:szCs w:val="24"/>
        </w:rPr>
        <w:t>In general, the issues relate to patients within three categories</w:t>
      </w:r>
    </w:p>
    <w:p w14:paraId="1B51DE28" w14:textId="77777777" w:rsidR="00374B8D" w:rsidRPr="006E08CC" w:rsidRDefault="00374B8D">
      <w:pPr>
        <w:rPr>
          <w:sz w:val="8"/>
          <w:szCs w:val="8"/>
        </w:rPr>
      </w:pPr>
    </w:p>
    <w:p w14:paraId="19A3DF96" w14:textId="316D275C" w:rsidR="00374B8D" w:rsidRDefault="00374B8D" w:rsidP="00374B8D">
      <w:pPr>
        <w:pStyle w:val="ListParagraph"/>
        <w:numPr>
          <w:ilvl w:val="0"/>
          <w:numId w:val="17"/>
        </w:numPr>
        <w:rPr>
          <w:sz w:val="24"/>
          <w:szCs w:val="24"/>
        </w:rPr>
      </w:pPr>
      <w:r w:rsidRPr="00374B8D">
        <w:rPr>
          <w:sz w:val="24"/>
          <w:szCs w:val="24"/>
        </w:rPr>
        <w:t>patients receiving care from specialist gender identity services</w:t>
      </w:r>
    </w:p>
    <w:p w14:paraId="43A59E4C" w14:textId="0BA01FF9" w:rsidR="00374B8D" w:rsidRDefault="00374B8D" w:rsidP="00374B8D">
      <w:pPr>
        <w:pStyle w:val="ListParagraph"/>
        <w:numPr>
          <w:ilvl w:val="0"/>
          <w:numId w:val="17"/>
        </w:numPr>
        <w:rPr>
          <w:sz w:val="24"/>
          <w:szCs w:val="24"/>
        </w:rPr>
      </w:pPr>
      <w:r>
        <w:rPr>
          <w:sz w:val="24"/>
          <w:szCs w:val="24"/>
        </w:rPr>
        <w:t>patients who have been diagnosed with adult ADHD</w:t>
      </w:r>
    </w:p>
    <w:p w14:paraId="40397A53" w14:textId="0CB75FA0" w:rsidR="00374B8D" w:rsidRDefault="00374B8D" w:rsidP="00374B8D">
      <w:pPr>
        <w:pStyle w:val="ListParagraph"/>
        <w:numPr>
          <w:ilvl w:val="0"/>
          <w:numId w:val="17"/>
        </w:numPr>
        <w:rPr>
          <w:sz w:val="24"/>
          <w:szCs w:val="24"/>
        </w:rPr>
      </w:pPr>
      <w:r w:rsidRPr="008735AF">
        <w:rPr>
          <w:sz w:val="24"/>
          <w:szCs w:val="24"/>
        </w:rPr>
        <w:t>other drugs that may require reclassifying as Blue or that may require payment under the LCS</w:t>
      </w:r>
    </w:p>
    <w:p w14:paraId="21F50A71" w14:textId="77777777" w:rsidR="006E08CC" w:rsidRPr="006E08CC" w:rsidRDefault="006E08CC" w:rsidP="006E08CC">
      <w:pPr>
        <w:pStyle w:val="ListParagraph"/>
        <w:rPr>
          <w:sz w:val="8"/>
          <w:szCs w:val="8"/>
        </w:rPr>
      </w:pPr>
    </w:p>
    <w:p w14:paraId="4012DAA9" w14:textId="46290137" w:rsidR="00F44BE7" w:rsidRDefault="00374B8D">
      <w:pPr>
        <w:rPr>
          <w:sz w:val="24"/>
          <w:szCs w:val="24"/>
        </w:rPr>
      </w:pPr>
      <w:r>
        <w:rPr>
          <w:sz w:val="24"/>
          <w:szCs w:val="24"/>
        </w:rPr>
        <w:t xml:space="preserve">Definitions </w:t>
      </w:r>
    </w:p>
    <w:tbl>
      <w:tblPr>
        <w:tblStyle w:val="TableGrid"/>
        <w:tblW w:w="0" w:type="auto"/>
        <w:tblLook w:val="04A0" w:firstRow="1" w:lastRow="0" w:firstColumn="1" w:lastColumn="0" w:noHBand="0" w:noVBand="1"/>
      </w:tblPr>
      <w:tblGrid>
        <w:gridCol w:w="2501"/>
        <w:gridCol w:w="6515"/>
      </w:tblGrid>
      <w:tr w:rsidR="004C2042" w:rsidRPr="00F8476C" w14:paraId="1210F75E" w14:textId="77777777" w:rsidTr="00F8549C">
        <w:tc>
          <w:tcPr>
            <w:tcW w:w="2501" w:type="dxa"/>
            <w:shd w:val="clear" w:color="auto" w:fill="FFC000"/>
            <w:vAlign w:val="center"/>
          </w:tcPr>
          <w:p w14:paraId="6C084D94" w14:textId="77777777" w:rsidR="004C2042" w:rsidRPr="00F8476C" w:rsidRDefault="004C2042" w:rsidP="004C2042">
            <w:pPr>
              <w:spacing w:line="259" w:lineRule="auto"/>
              <w:rPr>
                <w:sz w:val="20"/>
                <w:szCs w:val="20"/>
                <w:lang w:val="en-US"/>
              </w:rPr>
            </w:pPr>
            <w:r w:rsidRPr="00F8476C">
              <w:rPr>
                <w:b/>
                <w:sz w:val="20"/>
                <w:szCs w:val="20"/>
              </w:rPr>
              <w:t>AMBER - Specialist Initiation WITH Shared Care Guidelines</w:t>
            </w:r>
          </w:p>
        </w:tc>
        <w:tc>
          <w:tcPr>
            <w:tcW w:w="6515" w:type="dxa"/>
            <w:shd w:val="clear" w:color="auto" w:fill="FFC000"/>
            <w:vAlign w:val="center"/>
          </w:tcPr>
          <w:p w14:paraId="15950C99" w14:textId="77777777" w:rsidR="004C2042" w:rsidRPr="00F8476C" w:rsidRDefault="004C2042" w:rsidP="004C2042">
            <w:pPr>
              <w:spacing w:line="259" w:lineRule="auto"/>
              <w:rPr>
                <w:sz w:val="20"/>
                <w:szCs w:val="20"/>
                <w:lang w:val="en-US"/>
              </w:rPr>
            </w:pPr>
            <w:r w:rsidRPr="00F8476C">
              <w:rPr>
                <w:b/>
                <w:sz w:val="20"/>
                <w:szCs w:val="20"/>
              </w:rPr>
              <w:t>Prescribing initiated and stabilised by specialist team but has potential to transfer to primary care under a formal shared care agreement.</w:t>
            </w:r>
          </w:p>
        </w:tc>
      </w:tr>
    </w:tbl>
    <w:p w14:paraId="6B7245F8" w14:textId="4FF97600" w:rsidR="004C2042" w:rsidRDefault="004C2042">
      <w:pPr>
        <w:rPr>
          <w:sz w:val="24"/>
          <w:szCs w:val="24"/>
        </w:rPr>
      </w:pPr>
    </w:p>
    <w:tbl>
      <w:tblPr>
        <w:tblStyle w:val="TableGrid"/>
        <w:tblW w:w="0" w:type="auto"/>
        <w:tblLook w:val="04A0" w:firstRow="1" w:lastRow="0" w:firstColumn="1" w:lastColumn="0" w:noHBand="0" w:noVBand="1"/>
      </w:tblPr>
      <w:tblGrid>
        <w:gridCol w:w="2443"/>
        <w:gridCol w:w="6573"/>
      </w:tblGrid>
      <w:tr w:rsidR="004C2042" w:rsidRPr="00F8476C" w14:paraId="1C718492" w14:textId="77777777" w:rsidTr="00F8549C">
        <w:tc>
          <w:tcPr>
            <w:tcW w:w="2443" w:type="dxa"/>
            <w:tcBorders>
              <w:top w:val="single" w:sz="4" w:space="0" w:color="auto"/>
              <w:left w:val="single" w:sz="4" w:space="0" w:color="auto"/>
              <w:bottom w:val="single" w:sz="4" w:space="0" w:color="auto"/>
              <w:right w:val="single" w:sz="4" w:space="0" w:color="auto"/>
            </w:tcBorders>
            <w:shd w:val="clear" w:color="auto" w:fill="00B0F0"/>
            <w:vAlign w:val="center"/>
          </w:tcPr>
          <w:p w14:paraId="78292CC6" w14:textId="77777777" w:rsidR="004C2042" w:rsidRPr="00F8476C" w:rsidRDefault="004C2042" w:rsidP="004C2042">
            <w:pPr>
              <w:rPr>
                <w:rFonts w:ascii="Aptos" w:eastAsia="Aptos" w:hAnsi="Aptos" w:cs="Arial"/>
                <w:kern w:val="0"/>
                <w:sz w:val="20"/>
                <w:szCs w:val="20"/>
                <w:lang w:val="en-US" w:eastAsia="en-GB"/>
                <w14:ligatures w14:val="none"/>
              </w:rPr>
            </w:pPr>
            <w:r w:rsidRPr="00F8476C">
              <w:rPr>
                <w:rFonts w:ascii="Aptos" w:eastAsia="Aptos" w:hAnsi="Aptos" w:cs="Aptos"/>
                <w:b/>
                <w:color w:val="FFFFFF"/>
                <w:kern w:val="0"/>
                <w:sz w:val="20"/>
                <w:szCs w:val="20"/>
                <w14:ligatures w14:val="none"/>
              </w:rPr>
              <w:t>BLUE - Specialist Input WITHOUT Formal Shared Care Agreement</w:t>
            </w:r>
          </w:p>
        </w:tc>
        <w:tc>
          <w:tcPr>
            <w:tcW w:w="6573" w:type="dxa"/>
            <w:tcBorders>
              <w:top w:val="single" w:sz="4" w:space="0" w:color="auto"/>
              <w:left w:val="single" w:sz="4" w:space="0" w:color="auto"/>
              <w:bottom w:val="single" w:sz="4" w:space="0" w:color="auto"/>
              <w:right w:val="single" w:sz="4" w:space="0" w:color="auto"/>
            </w:tcBorders>
            <w:shd w:val="clear" w:color="auto" w:fill="00B0F0"/>
            <w:vAlign w:val="center"/>
          </w:tcPr>
          <w:p w14:paraId="5EA792DA" w14:textId="77777777" w:rsidR="004C2042" w:rsidRPr="00F8476C" w:rsidRDefault="004C2042" w:rsidP="004C2042">
            <w:pPr>
              <w:rPr>
                <w:rFonts w:ascii="Aptos" w:eastAsia="Times New Roman" w:hAnsi="Aptos" w:cs="Aptos"/>
                <w:color w:val="FFFFFF"/>
                <w:kern w:val="0"/>
                <w:sz w:val="20"/>
                <w:szCs w:val="20"/>
                <w:lang w:eastAsia="en-GB"/>
                <w14:ligatures w14:val="none"/>
              </w:rPr>
            </w:pPr>
            <w:r w:rsidRPr="00F8476C">
              <w:rPr>
                <w:rFonts w:ascii="Aptos" w:eastAsia="Times New Roman" w:hAnsi="Aptos" w:cs="Aptos"/>
                <w:color w:val="FFFFFF"/>
                <w:kern w:val="0"/>
                <w:sz w:val="20"/>
                <w:szCs w:val="20"/>
                <w:lang w:eastAsia="en-GB"/>
                <w14:ligatures w14:val="none"/>
              </w:rPr>
              <w:t>Prescribing initiated and stabilised by a specialist team but has potential to transfer to primary care WITHOUT a formal shared care agreement with an information sheet if appropriate.  Please note that in some circumstances the APC may agree that prescribing can be started in primary care on the recommendation of a specialist team.</w:t>
            </w:r>
          </w:p>
          <w:p w14:paraId="5DB996D3" w14:textId="77777777" w:rsidR="004C2042" w:rsidRPr="00F8476C" w:rsidRDefault="004C2042" w:rsidP="004C2042">
            <w:pPr>
              <w:rPr>
                <w:rFonts w:ascii="Aptos" w:eastAsia="Times New Roman" w:hAnsi="Aptos" w:cs="Aptos"/>
                <w:color w:val="FFFFFF" w:themeColor="background1"/>
                <w:kern w:val="0"/>
                <w:sz w:val="20"/>
                <w:szCs w:val="20"/>
                <w:lang w:val="en-US" w:eastAsia="en-GB"/>
                <w14:ligatures w14:val="none"/>
              </w:rPr>
            </w:pPr>
          </w:p>
          <w:p w14:paraId="33DC107E" w14:textId="77777777" w:rsidR="004C2042" w:rsidRPr="00F8476C" w:rsidRDefault="004C2042" w:rsidP="004C2042">
            <w:pPr>
              <w:rPr>
                <w:rFonts w:ascii="Aptos" w:eastAsia="Aptos" w:hAnsi="Aptos" w:cs="Arial"/>
                <w:kern w:val="0"/>
                <w:sz w:val="20"/>
                <w:szCs w:val="20"/>
                <w:lang w:val="en-US" w:eastAsia="en-GB"/>
                <w14:ligatures w14:val="none"/>
              </w:rPr>
            </w:pPr>
            <w:r w:rsidRPr="00F8476C">
              <w:rPr>
                <w:rFonts w:ascii="Aptos" w:eastAsia="Aptos" w:hAnsi="Aptos" w:cs="Arial"/>
                <w:color w:val="FFFFFF" w:themeColor="background1"/>
                <w:kern w:val="0"/>
                <w:sz w:val="20"/>
                <w:szCs w:val="20"/>
                <w:lang w:val="en-US" w:eastAsia="en-GB"/>
                <w14:ligatures w14:val="none"/>
              </w:rPr>
              <w:t>Please note: the BLUE classification has been refined to either ‘BLUE (with initiation)’ or ‘BLUE (on recommendation)’</w:t>
            </w:r>
          </w:p>
        </w:tc>
      </w:tr>
    </w:tbl>
    <w:p w14:paraId="3CB33B36" w14:textId="77777777" w:rsidR="004C2042" w:rsidRDefault="004C2042">
      <w:pPr>
        <w:rPr>
          <w:sz w:val="24"/>
          <w:szCs w:val="24"/>
        </w:rPr>
      </w:pPr>
    </w:p>
    <w:p w14:paraId="30B530DD" w14:textId="1112519D" w:rsidR="00B9704E" w:rsidRPr="001909FF" w:rsidRDefault="00290AF0" w:rsidP="00C8666E">
      <w:pPr>
        <w:rPr>
          <w:b/>
          <w:bCs/>
          <w:sz w:val="20"/>
          <w:szCs w:val="20"/>
        </w:rPr>
      </w:pPr>
      <w:r>
        <w:rPr>
          <w:b/>
          <w:bCs/>
          <w:sz w:val="20"/>
          <w:szCs w:val="20"/>
        </w:rPr>
        <w:lastRenderedPageBreak/>
        <w:t xml:space="preserve">Table 1: </w:t>
      </w:r>
      <w:r w:rsidR="00B9704E" w:rsidRPr="001909FF">
        <w:rPr>
          <w:b/>
          <w:bCs/>
          <w:sz w:val="20"/>
          <w:szCs w:val="20"/>
        </w:rPr>
        <w:t>Recommendations for Amber Drugs not included within LCS</w:t>
      </w:r>
    </w:p>
    <w:p w14:paraId="61987AEB" w14:textId="77777777" w:rsidR="00B9704E" w:rsidRPr="00F51C02" w:rsidRDefault="00B9704E" w:rsidP="00C8666E">
      <w:pPr>
        <w:rPr>
          <w:sz w:val="20"/>
          <w:szCs w:val="20"/>
        </w:rPr>
      </w:pPr>
    </w:p>
    <w:tbl>
      <w:tblPr>
        <w:tblStyle w:val="TableGrid"/>
        <w:tblW w:w="9650" w:type="dxa"/>
        <w:tblLook w:val="04A0" w:firstRow="1" w:lastRow="0" w:firstColumn="1" w:lastColumn="0" w:noHBand="0" w:noVBand="1"/>
      </w:tblPr>
      <w:tblGrid>
        <w:gridCol w:w="2086"/>
        <w:gridCol w:w="2587"/>
        <w:gridCol w:w="575"/>
        <w:gridCol w:w="4402"/>
      </w:tblGrid>
      <w:tr w:rsidR="00B9704E" w:rsidRPr="00F51C02" w14:paraId="4663FD29" w14:textId="77777777" w:rsidTr="00C17472">
        <w:trPr>
          <w:trHeight w:val="300"/>
        </w:trPr>
        <w:tc>
          <w:tcPr>
            <w:tcW w:w="2086" w:type="dxa"/>
            <w:noWrap/>
            <w:hideMark/>
          </w:tcPr>
          <w:p w14:paraId="0562116A" w14:textId="77777777" w:rsidR="00B9704E" w:rsidRPr="00F51C02" w:rsidRDefault="00B9704E" w:rsidP="00CD7911">
            <w:pPr>
              <w:rPr>
                <w:b/>
                <w:bCs/>
                <w:sz w:val="20"/>
                <w:szCs w:val="20"/>
              </w:rPr>
            </w:pPr>
            <w:r w:rsidRPr="00F51C02">
              <w:rPr>
                <w:b/>
                <w:bCs/>
                <w:sz w:val="20"/>
                <w:szCs w:val="20"/>
              </w:rPr>
              <w:t>Drug</w:t>
            </w:r>
          </w:p>
        </w:tc>
        <w:tc>
          <w:tcPr>
            <w:tcW w:w="2587" w:type="dxa"/>
            <w:noWrap/>
            <w:hideMark/>
          </w:tcPr>
          <w:p w14:paraId="1E42C3F6" w14:textId="77777777" w:rsidR="00B9704E" w:rsidRPr="00F51C02" w:rsidRDefault="00B9704E" w:rsidP="00CD7911">
            <w:pPr>
              <w:rPr>
                <w:b/>
                <w:bCs/>
                <w:sz w:val="20"/>
                <w:szCs w:val="20"/>
              </w:rPr>
            </w:pPr>
            <w:r w:rsidRPr="00F51C02">
              <w:rPr>
                <w:b/>
                <w:bCs/>
                <w:sz w:val="20"/>
                <w:szCs w:val="20"/>
              </w:rPr>
              <w:t>Indication</w:t>
            </w:r>
          </w:p>
        </w:tc>
        <w:tc>
          <w:tcPr>
            <w:tcW w:w="575" w:type="dxa"/>
            <w:noWrap/>
            <w:hideMark/>
          </w:tcPr>
          <w:p w14:paraId="02646D8B" w14:textId="77777777" w:rsidR="00B9704E" w:rsidRPr="00F51C02" w:rsidRDefault="00B9704E" w:rsidP="00CD7911">
            <w:pPr>
              <w:rPr>
                <w:b/>
                <w:bCs/>
                <w:sz w:val="20"/>
                <w:szCs w:val="20"/>
              </w:rPr>
            </w:pPr>
            <w:r w:rsidRPr="00F51C02">
              <w:rPr>
                <w:b/>
                <w:bCs/>
                <w:sz w:val="20"/>
                <w:szCs w:val="20"/>
              </w:rPr>
              <w:t>LCS</w:t>
            </w:r>
          </w:p>
        </w:tc>
        <w:tc>
          <w:tcPr>
            <w:tcW w:w="4402" w:type="dxa"/>
            <w:noWrap/>
            <w:hideMark/>
          </w:tcPr>
          <w:p w14:paraId="61CB114F" w14:textId="51C04543" w:rsidR="00B9704E" w:rsidRPr="00F51C02" w:rsidRDefault="00B9704E" w:rsidP="00CD7911">
            <w:pPr>
              <w:rPr>
                <w:b/>
                <w:bCs/>
                <w:sz w:val="20"/>
                <w:szCs w:val="20"/>
              </w:rPr>
            </w:pPr>
            <w:r w:rsidRPr="00F51C02">
              <w:rPr>
                <w:b/>
                <w:bCs/>
                <w:sz w:val="20"/>
                <w:szCs w:val="20"/>
              </w:rPr>
              <w:t>Recommendation</w:t>
            </w:r>
          </w:p>
        </w:tc>
      </w:tr>
      <w:tr w:rsidR="00B9704E" w:rsidRPr="00F51C02" w14:paraId="0CC33DB0" w14:textId="77777777" w:rsidTr="00C17472">
        <w:trPr>
          <w:trHeight w:val="559"/>
        </w:trPr>
        <w:tc>
          <w:tcPr>
            <w:tcW w:w="2086" w:type="dxa"/>
            <w:noWrap/>
            <w:hideMark/>
          </w:tcPr>
          <w:p w14:paraId="404B1590" w14:textId="77777777" w:rsidR="00B9704E" w:rsidRPr="00F51C02" w:rsidRDefault="00B9704E" w:rsidP="00CD7911">
            <w:pPr>
              <w:rPr>
                <w:sz w:val="20"/>
                <w:szCs w:val="20"/>
              </w:rPr>
            </w:pPr>
            <w:r w:rsidRPr="00F51C02">
              <w:rPr>
                <w:sz w:val="20"/>
                <w:szCs w:val="20"/>
              </w:rPr>
              <w:t>Atomoxetine hydrochloride</w:t>
            </w:r>
          </w:p>
        </w:tc>
        <w:tc>
          <w:tcPr>
            <w:tcW w:w="2587" w:type="dxa"/>
            <w:noWrap/>
            <w:hideMark/>
          </w:tcPr>
          <w:p w14:paraId="1B86FCCC" w14:textId="77777777" w:rsidR="00B9704E" w:rsidRPr="00F51C02" w:rsidRDefault="00B9704E" w:rsidP="00CD7911">
            <w:pPr>
              <w:rPr>
                <w:sz w:val="20"/>
                <w:szCs w:val="20"/>
              </w:rPr>
            </w:pPr>
            <w:r w:rsidRPr="00F51C02">
              <w:rPr>
                <w:sz w:val="20"/>
                <w:szCs w:val="20"/>
              </w:rPr>
              <w:t>Attention Deficit Hyperactivity Disorder (ADHD) - Adults</w:t>
            </w:r>
          </w:p>
        </w:tc>
        <w:tc>
          <w:tcPr>
            <w:tcW w:w="575" w:type="dxa"/>
            <w:noWrap/>
            <w:hideMark/>
          </w:tcPr>
          <w:p w14:paraId="249CDC87" w14:textId="77777777" w:rsidR="00B9704E" w:rsidRPr="00F51C02" w:rsidRDefault="00B9704E" w:rsidP="00CD7911">
            <w:pPr>
              <w:rPr>
                <w:sz w:val="20"/>
                <w:szCs w:val="20"/>
              </w:rPr>
            </w:pPr>
            <w:r w:rsidRPr="00F51C02">
              <w:rPr>
                <w:sz w:val="20"/>
                <w:szCs w:val="20"/>
              </w:rPr>
              <w:t>no</w:t>
            </w:r>
          </w:p>
        </w:tc>
        <w:tc>
          <w:tcPr>
            <w:tcW w:w="4402" w:type="dxa"/>
            <w:noWrap/>
            <w:hideMark/>
          </w:tcPr>
          <w:p w14:paraId="30C4E649" w14:textId="3160E891" w:rsidR="00B9704E" w:rsidRPr="00F51C02" w:rsidRDefault="00B9704E" w:rsidP="00CD7911">
            <w:pPr>
              <w:rPr>
                <w:sz w:val="20"/>
                <w:szCs w:val="20"/>
              </w:rPr>
            </w:pPr>
            <w:r w:rsidRPr="00F51C02">
              <w:rPr>
                <w:sz w:val="20"/>
                <w:szCs w:val="20"/>
              </w:rPr>
              <w:t>To be included within new Adult ADHD LCS</w:t>
            </w:r>
          </w:p>
        </w:tc>
      </w:tr>
      <w:tr w:rsidR="00B9704E" w:rsidRPr="00F51C02" w14:paraId="1113511B" w14:textId="77777777" w:rsidTr="00C17472">
        <w:trPr>
          <w:trHeight w:val="300"/>
        </w:trPr>
        <w:tc>
          <w:tcPr>
            <w:tcW w:w="2086" w:type="dxa"/>
            <w:noWrap/>
          </w:tcPr>
          <w:p w14:paraId="2CD2022F" w14:textId="0385A80E" w:rsidR="00B9704E" w:rsidRPr="00F51C02" w:rsidRDefault="00B9704E" w:rsidP="00B9704E">
            <w:pPr>
              <w:rPr>
                <w:sz w:val="20"/>
                <w:szCs w:val="20"/>
              </w:rPr>
            </w:pPr>
            <w:proofErr w:type="spellStart"/>
            <w:r w:rsidRPr="00F51C02">
              <w:rPr>
                <w:sz w:val="20"/>
                <w:szCs w:val="20"/>
              </w:rPr>
              <w:t>Dexamfetamine</w:t>
            </w:r>
            <w:proofErr w:type="spellEnd"/>
            <w:r w:rsidRPr="00F51C02">
              <w:rPr>
                <w:sz w:val="20"/>
                <w:szCs w:val="20"/>
              </w:rPr>
              <w:t xml:space="preserve"> </w:t>
            </w:r>
            <w:proofErr w:type="spellStart"/>
            <w:r w:rsidRPr="00F51C02">
              <w:rPr>
                <w:sz w:val="20"/>
                <w:szCs w:val="20"/>
              </w:rPr>
              <w:t>sulfate</w:t>
            </w:r>
            <w:proofErr w:type="spellEnd"/>
          </w:p>
        </w:tc>
        <w:tc>
          <w:tcPr>
            <w:tcW w:w="2587" w:type="dxa"/>
            <w:noWrap/>
          </w:tcPr>
          <w:p w14:paraId="0FAA9D0B" w14:textId="398CDBC1" w:rsidR="00B9704E" w:rsidRPr="00F51C02" w:rsidRDefault="00B9704E" w:rsidP="00B9704E">
            <w:pPr>
              <w:rPr>
                <w:sz w:val="20"/>
                <w:szCs w:val="20"/>
              </w:rPr>
            </w:pPr>
            <w:r w:rsidRPr="00F51C02">
              <w:rPr>
                <w:sz w:val="20"/>
                <w:szCs w:val="20"/>
              </w:rPr>
              <w:t>Attention Deficit Hyperactivity Disorder (ADHD) - Adults</w:t>
            </w:r>
          </w:p>
        </w:tc>
        <w:tc>
          <w:tcPr>
            <w:tcW w:w="575" w:type="dxa"/>
            <w:noWrap/>
          </w:tcPr>
          <w:p w14:paraId="1F576BEA" w14:textId="6BD75D91" w:rsidR="00B9704E" w:rsidRPr="00F51C02" w:rsidRDefault="00B9704E" w:rsidP="00B9704E">
            <w:pPr>
              <w:rPr>
                <w:sz w:val="20"/>
                <w:szCs w:val="20"/>
              </w:rPr>
            </w:pPr>
            <w:r w:rsidRPr="00F51C02">
              <w:rPr>
                <w:sz w:val="20"/>
                <w:szCs w:val="20"/>
              </w:rPr>
              <w:t>no</w:t>
            </w:r>
          </w:p>
        </w:tc>
        <w:tc>
          <w:tcPr>
            <w:tcW w:w="4402" w:type="dxa"/>
            <w:noWrap/>
          </w:tcPr>
          <w:p w14:paraId="77D3BD55" w14:textId="3F5B6C92" w:rsidR="00B9704E" w:rsidRPr="00F51C02" w:rsidRDefault="00B9704E" w:rsidP="00B9704E">
            <w:pPr>
              <w:rPr>
                <w:color w:val="FF0000"/>
                <w:sz w:val="20"/>
                <w:szCs w:val="20"/>
              </w:rPr>
            </w:pPr>
            <w:r w:rsidRPr="00F51C02">
              <w:rPr>
                <w:sz w:val="20"/>
                <w:szCs w:val="20"/>
              </w:rPr>
              <w:t>To be included within new Adult ADHD LCS</w:t>
            </w:r>
          </w:p>
        </w:tc>
      </w:tr>
      <w:tr w:rsidR="00B9704E" w:rsidRPr="00F51C02" w14:paraId="73D3044E" w14:textId="77777777" w:rsidTr="00C17472">
        <w:trPr>
          <w:trHeight w:val="300"/>
        </w:trPr>
        <w:tc>
          <w:tcPr>
            <w:tcW w:w="2086" w:type="dxa"/>
            <w:noWrap/>
          </w:tcPr>
          <w:p w14:paraId="2C7D140A" w14:textId="0012CC81" w:rsidR="00B9704E" w:rsidRPr="00F51C02" w:rsidRDefault="00B9704E" w:rsidP="00B9704E">
            <w:pPr>
              <w:rPr>
                <w:sz w:val="20"/>
                <w:szCs w:val="20"/>
              </w:rPr>
            </w:pPr>
            <w:proofErr w:type="spellStart"/>
            <w:r w:rsidRPr="00F51C02">
              <w:rPr>
                <w:sz w:val="20"/>
                <w:szCs w:val="20"/>
              </w:rPr>
              <w:t>Lisdexamfetamine</w:t>
            </w:r>
            <w:proofErr w:type="spellEnd"/>
          </w:p>
        </w:tc>
        <w:tc>
          <w:tcPr>
            <w:tcW w:w="2587" w:type="dxa"/>
            <w:noWrap/>
          </w:tcPr>
          <w:p w14:paraId="55769694" w14:textId="6C3C1DE5" w:rsidR="00B9704E" w:rsidRPr="00F51C02" w:rsidRDefault="00B9704E" w:rsidP="00B9704E">
            <w:pPr>
              <w:rPr>
                <w:sz w:val="20"/>
                <w:szCs w:val="20"/>
              </w:rPr>
            </w:pPr>
            <w:r w:rsidRPr="00F51C02">
              <w:rPr>
                <w:sz w:val="20"/>
                <w:szCs w:val="20"/>
              </w:rPr>
              <w:t>Attention Deficit Hyperactivity Disorder (ADHD) - Adults</w:t>
            </w:r>
          </w:p>
        </w:tc>
        <w:tc>
          <w:tcPr>
            <w:tcW w:w="575" w:type="dxa"/>
            <w:noWrap/>
          </w:tcPr>
          <w:p w14:paraId="417B8887" w14:textId="5953BA66" w:rsidR="00B9704E" w:rsidRPr="00F51C02" w:rsidRDefault="00B9704E" w:rsidP="00B9704E">
            <w:pPr>
              <w:rPr>
                <w:sz w:val="20"/>
                <w:szCs w:val="20"/>
              </w:rPr>
            </w:pPr>
            <w:r w:rsidRPr="00F51C02">
              <w:rPr>
                <w:sz w:val="20"/>
                <w:szCs w:val="20"/>
              </w:rPr>
              <w:t>no</w:t>
            </w:r>
          </w:p>
        </w:tc>
        <w:tc>
          <w:tcPr>
            <w:tcW w:w="4402" w:type="dxa"/>
            <w:noWrap/>
          </w:tcPr>
          <w:p w14:paraId="3B3177F0" w14:textId="254C296D" w:rsidR="00B9704E" w:rsidRPr="00F51C02" w:rsidRDefault="00C17472" w:rsidP="00B9704E">
            <w:pPr>
              <w:rPr>
                <w:sz w:val="20"/>
                <w:szCs w:val="20"/>
              </w:rPr>
            </w:pPr>
            <w:r w:rsidRPr="00F51C02">
              <w:rPr>
                <w:sz w:val="20"/>
                <w:szCs w:val="20"/>
              </w:rPr>
              <w:t>To be included within new Adult ADHD LCS</w:t>
            </w:r>
          </w:p>
        </w:tc>
      </w:tr>
      <w:tr w:rsidR="00C17472" w:rsidRPr="00F51C02" w14:paraId="7FA28905" w14:textId="77777777" w:rsidTr="00C17472">
        <w:trPr>
          <w:trHeight w:val="300"/>
        </w:trPr>
        <w:tc>
          <w:tcPr>
            <w:tcW w:w="2086" w:type="dxa"/>
            <w:noWrap/>
          </w:tcPr>
          <w:p w14:paraId="19408035" w14:textId="1C3BE27F" w:rsidR="00C17472" w:rsidRPr="00F51C02" w:rsidRDefault="00C17472" w:rsidP="00C17472">
            <w:pPr>
              <w:rPr>
                <w:sz w:val="20"/>
                <w:szCs w:val="20"/>
              </w:rPr>
            </w:pPr>
            <w:r w:rsidRPr="00F51C02">
              <w:rPr>
                <w:sz w:val="20"/>
                <w:szCs w:val="20"/>
              </w:rPr>
              <w:t>Methylphenidate hydrochloride</w:t>
            </w:r>
          </w:p>
        </w:tc>
        <w:tc>
          <w:tcPr>
            <w:tcW w:w="2587" w:type="dxa"/>
            <w:noWrap/>
          </w:tcPr>
          <w:p w14:paraId="5A833596" w14:textId="406CEBA4" w:rsidR="00C17472" w:rsidRPr="00F51C02" w:rsidRDefault="00C17472" w:rsidP="00C17472">
            <w:pPr>
              <w:rPr>
                <w:sz w:val="20"/>
                <w:szCs w:val="20"/>
              </w:rPr>
            </w:pPr>
            <w:r w:rsidRPr="00F51C02">
              <w:rPr>
                <w:sz w:val="20"/>
                <w:szCs w:val="20"/>
              </w:rPr>
              <w:t>Attention Deficit Hyperactivity Disorder (ADHD) - Adults</w:t>
            </w:r>
          </w:p>
        </w:tc>
        <w:tc>
          <w:tcPr>
            <w:tcW w:w="575" w:type="dxa"/>
            <w:noWrap/>
          </w:tcPr>
          <w:p w14:paraId="76ABAE81" w14:textId="2D98D3B0" w:rsidR="00C17472" w:rsidRPr="00F51C02" w:rsidRDefault="00C17472" w:rsidP="00C17472">
            <w:pPr>
              <w:rPr>
                <w:sz w:val="20"/>
                <w:szCs w:val="20"/>
              </w:rPr>
            </w:pPr>
            <w:r w:rsidRPr="00F51C02">
              <w:rPr>
                <w:sz w:val="20"/>
                <w:szCs w:val="20"/>
              </w:rPr>
              <w:t>no</w:t>
            </w:r>
          </w:p>
        </w:tc>
        <w:tc>
          <w:tcPr>
            <w:tcW w:w="4402" w:type="dxa"/>
            <w:noWrap/>
          </w:tcPr>
          <w:p w14:paraId="33528419" w14:textId="2223D9D9" w:rsidR="00C17472" w:rsidRPr="00F51C02" w:rsidRDefault="00C17472" w:rsidP="00C17472">
            <w:pPr>
              <w:rPr>
                <w:sz w:val="20"/>
                <w:szCs w:val="20"/>
              </w:rPr>
            </w:pPr>
            <w:r w:rsidRPr="00F51C02">
              <w:rPr>
                <w:sz w:val="20"/>
                <w:szCs w:val="20"/>
              </w:rPr>
              <w:t>To be included within new Adult ADHD LCS</w:t>
            </w:r>
          </w:p>
        </w:tc>
      </w:tr>
      <w:tr w:rsidR="00C17472" w:rsidRPr="00F51C02" w14:paraId="38C1BE60" w14:textId="77777777" w:rsidTr="00C17472">
        <w:trPr>
          <w:trHeight w:val="300"/>
        </w:trPr>
        <w:tc>
          <w:tcPr>
            <w:tcW w:w="2086" w:type="dxa"/>
            <w:noWrap/>
            <w:hideMark/>
          </w:tcPr>
          <w:p w14:paraId="2A36191F" w14:textId="77777777" w:rsidR="00C17472" w:rsidRPr="00F51C02" w:rsidRDefault="00C17472" w:rsidP="00C17472">
            <w:pPr>
              <w:rPr>
                <w:sz w:val="20"/>
                <w:szCs w:val="20"/>
              </w:rPr>
            </w:pPr>
            <w:r w:rsidRPr="00F51C02">
              <w:rPr>
                <w:sz w:val="20"/>
                <w:szCs w:val="20"/>
              </w:rPr>
              <w:t>Cyproterone acetate</w:t>
            </w:r>
          </w:p>
        </w:tc>
        <w:tc>
          <w:tcPr>
            <w:tcW w:w="2587" w:type="dxa"/>
            <w:noWrap/>
            <w:hideMark/>
          </w:tcPr>
          <w:p w14:paraId="786E81D1" w14:textId="77777777" w:rsidR="00C17472" w:rsidRPr="00F51C02" w:rsidRDefault="00C17472" w:rsidP="00C17472">
            <w:pPr>
              <w:rPr>
                <w:sz w:val="20"/>
                <w:szCs w:val="20"/>
              </w:rPr>
            </w:pPr>
            <w:r w:rsidRPr="00F51C02">
              <w:rPr>
                <w:sz w:val="20"/>
                <w:szCs w:val="20"/>
              </w:rPr>
              <w:t>Transgender Health - adults</w:t>
            </w:r>
          </w:p>
        </w:tc>
        <w:tc>
          <w:tcPr>
            <w:tcW w:w="575" w:type="dxa"/>
            <w:noWrap/>
            <w:hideMark/>
          </w:tcPr>
          <w:p w14:paraId="42771AAC" w14:textId="77777777" w:rsidR="00C17472" w:rsidRPr="00F51C02" w:rsidRDefault="00C17472" w:rsidP="00C17472">
            <w:pPr>
              <w:rPr>
                <w:sz w:val="20"/>
                <w:szCs w:val="20"/>
              </w:rPr>
            </w:pPr>
            <w:r w:rsidRPr="00F51C02">
              <w:rPr>
                <w:sz w:val="20"/>
                <w:szCs w:val="20"/>
              </w:rPr>
              <w:t>no</w:t>
            </w:r>
          </w:p>
        </w:tc>
        <w:tc>
          <w:tcPr>
            <w:tcW w:w="4402" w:type="dxa"/>
            <w:noWrap/>
            <w:hideMark/>
          </w:tcPr>
          <w:p w14:paraId="6E471A1D" w14:textId="1BFC22F9" w:rsidR="00C17472" w:rsidRPr="00F51C02" w:rsidRDefault="00C17472" w:rsidP="00C17472">
            <w:pPr>
              <w:rPr>
                <w:sz w:val="20"/>
                <w:szCs w:val="20"/>
              </w:rPr>
            </w:pPr>
            <w:r w:rsidRPr="00F51C02">
              <w:rPr>
                <w:sz w:val="20"/>
                <w:szCs w:val="20"/>
              </w:rPr>
              <w:t>To be addressed separately</w:t>
            </w:r>
          </w:p>
        </w:tc>
      </w:tr>
      <w:tr w:rsidR="00C17472" w:rsidRPr="00F51C02" w14:paraId="2C876E37" w14:textId="77777777" w:rsidTr="00C17472">
        <w:trPr>
          <w:trHeight w:val="300"/>
        </w:trPr>
        <w:tc>
          <w:tcPr>
            <w:tcW w:w="2086" w:type="dxa"/>
            <w:noWrap/>
          </w:tcPr>
          <w:p w14:paraId="5EAFB16F" w14:textId="7C92C9AD" w:rsidR="00C17472" w:rsidRPr="00F51C02" w:rsidRDefault="00C17472" w:rsidP="00C17472">
            <w:pPr>
              <w:rPr>
                <w:sz w:val="20"/>
                <w:szCs w:val="20"/>
              </w:rPr>
            </w:pPr>
            <w:proofErr w:type="spellStart"/>
            <w:r w:rsidRPr="00F51C02">
              <w:rPr>
                <w:sz w:val="20"/>
                <w:szCs w:val="20"/>
              </w:rPr>
              <w:t>Estradiol</w:t>
            </w:r>
            <w:proofErr w:type="spellEnd"/>
          </w:p>
        </w:tc>
        <w:tc>
          <w:tcPr>
            <w:tcW w:w="2587" w:type="dxa"/>
            <w:noWrap/>
          </w:tcPr>
          <w:p w14:paraId="1536DCA6" w14:textId="264FDAC0" w:rsidR="00C17472" w:rsidRPr="00F51C02" w:rsidRDefault="00C17472" w:rsidP="00C17472">
            <w:pPr>
              <w:rPr>
                <w:sz w:val="20"/>
                <w:szCs w:val="20"/>
              </w:rPr>
            </w:pPr>
            <w:r w:rsidRPr="00F51C02">
              <w:rPr>
                <w:sz w:val="20"/>
                <w:szCs w:val="20"/>
              </w:rPr>
              <w:t>Transgender Health - adults</w:t>
            </w:r>
          </w:p>
        </w:tc>
        <w:tc>
          <w:tcPr>
            <w:tcW w:w="575" w:type="dxa"/>
            <w:noWrap/>
          </w:tcPr>
          <w:p w14:paraId="74BB804D" w14:textId="6087B69D" w:rsidR="00C17472" w:rsidRPr="00F51C02" w:rsidRDefault="00C17472" w:rsidP="00C17472">
            <w:pPr>
              <w:rPr>
                <w:sz w:val="20"/>
                <w:szCs w:val="20"/>
              </w:rPr>
            </w:pPr>
            <w:r w:rsidRPr="00F51C02">
              <w:rPr>
                <w:sz w:val="20"/>
                <w:szCs w:val="20"/>
              </w:rPr>
              <w:t>no</w:t>
            </w:r>
          </w:p>
        </w:tc>
        <w:tc>
          <w:tcPr>
            <w:tcW w:w="4402" w:type="dxa"/>
            <w:noWrap/>
          </w:tcPr>
          <w:p w14:paraId="58360C6C" w14:textId="4C77D05B" w:rsidR="00C17472" w:rsidRPr="00F51C02" w:rsidRDefault="00C17472" w:rsidP="00C17472">
            <w:pPr>
              <w:rPr>
                <w:sz w:val="20"/>
                <w:szCs w:val="20"/>
              </w:rPr>
            </w:pPr>
            <w:r w:rsidRPr="00F51C02">
              <w:rPr>
                <w:sz w:val="20"/>
                <w:szCs w:val="20"/>
              </w:rPr>
              <w:t>To be addressed separately</w:t>
            </w:r>
          </w:p>
        </w:tc>
      </w:tr>
      <w:tr w:rsidR="00C17472" w:rsidRPr="00F51C02" w14:paraId="2609BCC4" w14:textId="77777777" w:rsidTr="00C17472">
        <w:trPr>
          <w:trHeight w:val="300"/>
        </w:trPr>
        <w:tc>
          <w:tcPr>
            <w:tcW w:w="2086" w:type="dxa"/>
            <w:noWrap/>
          </w:tcPr>
          <w:p w14:paraId="15A5F864" w14:textId="14E4B78C" w:rsidR="00C17472" w:rsidRPr="00F51C02" w:rsidRDefault="00C17472" w:rsidP="00C17472">
            <w:pPr>
              <w:rPr>
                <w:sz w:val="20"/>
                <w:szCs w:val="20"/>
              </w:rPr>
            </w:pPr>
            <w:proofErr w:type="spellStart"/>
            <w:r w:rsidRPr="00F51C02">
              <w:rPr>
                <w:sz w:val="20"/>
                <w:szCs w:val="20"/>
              </w:rPr>
              <w:t>Estradiol</w:t>
            </w:r>
            <w:proofErr w:type="spellEnd"/>
          </w:p>
        </w:tc>
        <w:tc>
          <w:tcPr>
            <w:tcW w:w="2587" w:type="dxa"/>
            <w:noWrap/>
          </w:tcPr>
          <w:p w14:paraId="1B36CB8E" w14:textId="256229F0" w:rsidR="00C17472" w:rsidRPr="00F51C02" w:rsidRDefault="00C17472" w:rsidP="00C17472">
            <w:pPr>
              <w:rPr>
                <w:sz w:val="20"/>
                <w:szCs w:val="20"/>
              </w:rPr>
            </w:pPr>
            <w:r w:rsidRPr="00F51C02">
              <w:rPr>
                <w:sz w:val="20"/>
                <w:szCs w:val="20"/>
              </w:rPr>
              <w:t>Transgender Health - Children and Young People</w:t>
            </w:r>
          </w:p>
        </w:tc>
        <w:tc>
          <w:tcPr>
            <w:tcW w:w="575" w:type="dxa"/>
            <w:noWrap/>
          </w:tcPr>
          <w:p w14:paraId="202BB50B" w14:textId="41EF98E1" w:rsidR="00C17472" w:rsidRPr="00F51C02" w:rsidRDefault="00C17472" w:rsidP="00C17472">
            <w:pPr>
              <w:rPr>
                <w:sz w:val="20"/>
                <w:szCs w:val="20"/>
              </w:rPr>
            </w:pPr>
            <w:r w:rsidRPr="00F51C02">
              <w:rPr>
                <w:sz w:val="20"/>
                <w:szCs w:val="20"/>
              </w:rPr>
              <w:t>no</w:t>
            </w:r>
          </w:p>
        </w:tc>
        <w:tc>
          <w:tcPr>
            <w:tcW w:w="4402" w:type="dxa"/>
            <w:noWrap/>
          </w:tcPr>
          <w:p w14:paraId="47CD3226" w14:textId="14175FDB" w:rsidR="00C17472" w:rsidRPr="00F51C02" w:rsidRDefault="00C17472" w:rsidP="00C17472">
            <w:pPr>
              <w:rPr>
                <w:sz w:val="20"/>
                <w:szCs w:val="20"/>
              </w:rPr>
            </w:pPr>
            <w:r w:rsidRPr="00F51C02">
              <w:rPr>
                <w:sz w:val="20"/>
                <w:szCs w:val="20"/>
              </w:rPr>
              <w:t>To be addressed separately</w:t>
            </w:r>
          </w:p>
        </w:tc>
      </w:tr>
      <w:tr w:rsidR="00C17472" w:rsidRPr="00F51C02" w14:paraId="02E16FC1" w14:textId="77777777" w:rsidTr="00C17472">
        <w:trPr>
          <w:trHeight w:val="300"/>
        </w:trPr>
        <w:tc>
          <w:tcPr>
            <w:tcW w:w="2086" w:type="dxa"/>
            <w:noWrap/>
          </w:tcPr>
          <w:p w14:paraId="1D3C4F07" w14:textId="17290391" w:rsidR="00C17472" w:rsidRPr="00F51C02" w:rsidRDefault="00C17472" w:rsidP="00C17472">
            <w:pPr>
              <w:rPr>
                <w:sz w:val="20"/>
                <w:szCs w:val="20"/>
              </w:rPr>
            </w:pPr>
            <w:proofErr w:type="spellStart"/>
            <w:r w:rsidRPr="00F51C02">
              <w:rPr>
                <w:sz w:val="20"/>
                <w:szCs w:val="20"/>
              </w:rPr>
              <w:t>Ethinylestradiol</w:t>
            </w:r>
            <w:proofErr w:type="spellEnd"/>
          </w:p>
        </w:tc>
        <w:tc>
          <w:tcPr>
            <w:tcW w:w="2587" w:type="dxa"/>
            <w:noWrap/>
          </w:tcPr>
          <w:p w14:paraId="2DB08F7E" w14:textId="1B7A90B1" w:rsidR="00C17472" w:rsidRPr="00F51C02" w:rsidRDefault="00C17472" w:rsidP="00C17472">
            <w:pPr>
              <w:rPr>
                <w:sz w:val="20"/>
                <w:szCs w:val="20"/>
              </w:rPr>
            </w:pPr>
            <w:r w:rsidRPr="00F51C02">
              <w:rPr>
                <w:sz w:val="20"/>
                <w:szCs w:val="20"/>
              </w:rPr>
              <w:t>Transgender Health - adults</w:t>
            </w:r>
          </w:p>
        </w:tc>
        <w:tc>
          <w:tcPr>
            <w:tcW w:w="575" w:type="dxa"/>
            <w:noWrap/>
          </w:tcPr>
          <w:p w14:paraId="697DA758" w14:textId="480DA6EC" w:rsidR="00C17472" w:rsidRPr="00F51C02" w:rsidRDefault="00C17472" w:rsidP="00C17472">
            <w:pPr>
              <w:rPr>
                <w:sz w:val="20"/>
                <w:szCs w:val="20"/>
              </w:rPr>
            </w:pPr>
            <w:r w:rsidRPr="00F51C02">
              <w:rPr>
                <w:sz w:val="20"/>
                <w:szCs w:val="20"/>
              </w:rPr>
              <w:t>no</w:t>
            </w:r>
          </w:p>
        </w:tc>
        <w:tc>
          <w:tcPr>
            <w:tcW w:w="4402" w:type="dxa"/>
            <w:noWrap/>
          </w:tcPr>
          <w:p w14:paraId="1489BB41" w14:textId="247EB6B2" w:rsidR="00C17472" w:rsidRPr="00F51C02" w:rsidRDefault="00C17472" w:rsidP="00C17472">
            <w:pPr>
              <w:rPr>
                <w:sz w:val="20"/>
                <w:szCs w:val="20"/>
              </w:rPr>
            </w:pPr>
            <w:r w:rsidRPr="00F51C02">
              <w:rPr>
                <w:sz w:val="20"/>
                <w:szCs w:val="20"/>
              </w:rPr>
              <w:t>To be addressed separately</w:t>
            </w:r>
          </w:p>
        </w:tc>
      </w:tr>
      <w:tr w:rsidR="00C17472" w:rsidRPr="00F51C02" w14:paraId="55B501F8" w14:textId="77777777" w:rsidTr="00C17472">
        <w:trPr>
          <w:trHeight w:val="300"/>
        </w:trPr>
        <w:tc>
          <w:tcPr>
            <w:tcW w:w="2086" w:type="dxa"/>
            <w:noWrap/>
          </w:tcPr>
          <w:p w14:paraId="75F4BDDA" w14:textId="26A58C97" w:rsidR="00C17472" w:rsidRPr="00F51C02" w:rsidRDefault="00C17472" w:rsidP="00C17472">
            <w:pPr>
              <w:rPr>
                <w:sz w:val="20"/>
                <w:szCs w:val="20"/>
              </w:rPr>
            </w:pPr>
            <w:r w:rsidRPr="00F51C02">
              <w:rPr>
                <w:sz w:val="20"/>
                <w:szCs w:val="20"/>
              </w:rPr>
              <w:t>Finasteride</w:t>
            </w:r>
          </w:p>
        </w:tc>
        <w:tc>
          <w:tcPr>
            <w:tcW w:w="2587" w:type="dxa"/>
            <w:noWrap/>
          </w:tcPr>
          <w:p w14:paraId="492456CC" w14:textId="380F435D" w:rsidR="00C17472" w:rsidRPr="00F51C02" w:rsidRDefault="00C17472" w:rsidP="00C17472">
            <w:pPr>
              <w:rPr>
                <w:sz w:val="20"/>
                <w:szCs w:val="20"/>
              </w:rPr>
            </w:pPr>
            <w:r w:rsidRPr="00F51C02">
              <w:rPr>
                <w:sz w:val="20"/>
                <w:szCs w:val="20"/>
              </w:rPr>
              <w:t>Transgender Health - adults</w:t>
            </w:r>
          </w:p>
        </w:tc>
        <w:tc>
          <w:tcPr>
            <w:tcW w:w="575" w:type="dxa"/>
            <w:noWrap/>
          </w:tcPr>
          <w:p w14:paraId="12229AAB" w14:textId="3C981DB4" w:rsidR="00C17472" w:rsidRPr="00F51C02" w:rsidRDefault="00C17472" w:rsidP="00C17472">
            <w:pPr>
              <w:rPr>
                <w:sz w:val="20"/>
                <w:szCs w:val="20"/>
              </w:rPr>
            </w:pPr>
            <w:r w:rsidRPr="00F51C02">
              <w:rPr>
                <w:sz w:val="20"/>
                <w:szCs w:val="20"/>
              </w:rPr>
              <w:t>no</w:t>
            </w:r>
          </w:p>
        </w:tc>
        <w:tc>
          <w:tcPr>
            <w:tcW w:w="4402" w:type="dxa"/>
            <w:noWrap/>
          </w:tcPr>
          <w:p w14:paraId="54943B55" w14:textId="4F1355E5" w:rsidR="00C17472" w:rsidRPr="00F51C02" w:rsidRDefault="00C17472" w:rsidP="00C17472">
            <w:pPr>
              <w:rPr>
                <w:sz w:val="20"/>
                <w:szCs w:val="20"/>
              </w:rPr>
            </w:pPr>
            <w:r w:rsidRPr="00F51C02">
              <w:rPr>
                <w:sz w:val="20"/>
                <w:szCs w:val="20"/>
              </w:rPr>
              <w:t>To be addressed separately</w:t>
            </w:r>
          </w:p>
        </w:tc>
      </w:tr>
      <w:tr w:rsidR="00C17472" w:rsidRPr="00F51C02" w14:paraId="24184169" w14:textId="77777777" w:rsidTr="00C17472">
        <w:trPr>
          <w:trHeight w:val="300"/>
        </w:trPr>
        <w:tc>
          <w:tcPr>
            <w:tcW w:w="2086" w:type="dxa"/>
            <w:noWrap/>
          </w:tcPr>
          <w:p w14:paraId="075761F4" w14:textId="79914866" w:rsidR="00C17472" w:rsidRPr="00F51C02" w:rsidRDefault="00C17472" w:rsidP="00C17472">
            <w:pPr>
              <w:rPr>
                <w:sz w:val="20"/>
                <w:szCs w:val="20"/>
              </w:rPr>
            </w:pPr>
            <w:r w:rsidRPr="00F51C02">
              <w:rPr>
                <w:sz w:val="20"/>
                <w:szCs w:val="20"/>
              </w:rPr>
              <w:t>Medroxyprogesterone acetate</w:t>
            </w:r>
          </w:p>
        </w:tc>
        <w:tc>
          <w:tcPr>
            <w:tcW w:w="2587" w:type="dxa"/>
            <w:noWrap/>
          </w:tcPr>
          <w:p w14:paraId="3E556F6F" w14:textId="55936651" w:rsidR="00C17472" w:rsidRPr="00F51C02" w:rsidRDefault="00C17472" w:rsidP="00C17472">
            <w:pPr>
              <w:rPr>
                <w:sz w:val="20"/>
                <w:szCs w:val="20"/>
              </w:rPr>
            </w:pPr>
            <w:r w:rsidRPr="00F51C02">
              <w:rPr>
                <w:sz w:val="20"/>
                <w:szCs w:val="20"/>
              </w:rPr>
              <w:t>Transgender Health - adults</w:t>
            </w:r>
          </w:p>
        </w:tc>
        <w:tc>
          <w:tcPr>
            <w:tcW w:w="575" w:type="dxa"/>
            <w:noWrap/>
          </w:tcPr>
          <w:p w14:paraId="6EA0CC17" w14:textId="12C9159C" w:rsidR="00C17472" w:rsidRPr="00F51C02" w:rsidRDefault="00C17472" w:rsidP="00C17472">
            <w:pPr>
              <w:rPr>
                <w:sz w:val="20"/>
                <w:szCs w:val="20"/>
              </w:rPr>
            </w:pPr>
            <w:r w:rsidRPr="00F51C02">
              <w:rPr>
                <w:sz w:val="20"/>
                <w:szCs w:val="20"/>
              </w:rPr>
              <w:t>no</w:t>
            </w:r>
          </w:p>
        </w:tc>
        <w:tc>
          <w:tcPr>
            <w:tcW w:w="4402" w:type="dxa"/>
            <w:noWrap/>
          </w:tcPr>
          <w:p w14:paraId="29C2753C" w14:textId="467E7591" w:rsidR="00C17472" w:rsidRPr="00F51C02" w:rsidRDefault="00C17472" w:rsidP="00C17472">
            <w:pPr>
              <w:rPr>
                <w:sz w:val="20"/>
                <w:szCs w:val="20"/>
              </w:rPr>
            </w:pPr>
            <w:r w:rsidRPr="00F51C02">
              <w:rPr>
                <w:sz w:val="20"/>
                <w:szCs w:val="20"/>
              </w:rPr>
              <w:t>To be addressed separately</w:t>
            </w:r>
          </w:p>
        </w:tc>
      </w:tr>
      <w:tr w:rsidR="00C17472" w:rsidRPr="00F51C02" w14:paraId="2CDD29C8" w14:textId="77777777" w:rsidTr="00C17472">
        <w:trPr>
          <w:trHeight w:val="300"/>
        </w:trPr>
        <w:tc>
          <w:tcPr>
            <w:tcW w:w="2086" w:type="dxa"/>
            <w:noWrap/>
          </w:tcPr>
          <w:p w14:paraId="00270821" w14:textId="056268ED" w:rsidR="00C17472" w:rsidRPr="00F51C02" w:rsidRDefault="00C17472" w:rsidP="00C17472">
            <w:pPr>
              <w:rPr>
                <w:sz w:val="20"/>
                <w:szCs w:val="20"/>
              </w:rPr>
            </w:pPr>
            <w:r w:rsidRPr="00F51C02">
              <w:rPr>
                <w:sz w:val="20"/>
                <w:szCs w:val="20"/>
              </w:rPr>
              <w:t>Testosterone</w:t>
            </w:r>
          </w:p>
        </w:tc>
        <w:tc>
          <w:tcPr>
            <w:tcW w:w="2587" w:type="dxa"/>
            <w:noWrap/>
          </w:tcPr>
          <w:p w14:paraId="746F8BE3" w14:textId="2B601082" w:rsidR="00C17472" w:rsidRPr="00F51C02" w:rsidRDefault="00C17472" w:rsidP="00C17472">
            <w:pPr>
              <w:rPr>
                <w:sz w:val="20"/>
                <w:szCs w:val="20"/>
              </w:rPr>
            </w:pPr>
            <w:r w:rsidRPr="00F51C02">
              <w:rPr>
                <w:sz w:val="20"/>
                <w:szCs w:val="20"/>
              </w:rPr>
              <w:t>Transgender Health - adults</w:t>
            </w:r>
          </w:p>
        </w:tc>
        <w:tc>
          <w:tcPr>
            <w:tcW w:w="575" w:type="dxa"/>
            <w:noWrap/>
          </w:tcPr>
          <w:p w14:paraId="7656829E" w14:textId="1F661ED9" w:rsidR="00C17472" w:rsidRPr="00F51C02" w:rsidRDefault="00C17472" w:rsidP="00C17472">
            <w:pPr>
              <w:rPr>
                <w:sz w:val="20"/>
                <w:szCs w:val="20"/>
              </w:rPr>
            </w:pPr>
            <w:r w:rsidRPr="00F51C02">
              <w:rPr>
                <w:sz w:val="20"/>
                <w:szCs w:val="20"/>
              </w:rPr>
              <w:t>no</w:t>
            </w:r>
          </w:p>
        </w:tc>
        <w:tc>
          <w:tcPr>
            <w:tcW w:w="4402" w:type="dxa"/>
            <w:noWrap/>
          </w:tcPr>
          <w:p w14:paraId="6FDDD910" w14:textId="65D11C8B" w:rsidR="00C17472" w:rsidRPr="00F51C02" w:rsidRDefault="00C17472" w:rsidP="00C17472">
            <w:pPr>
              <w:rPr>
                <w:sz w:val="20"/>
                <w:szCs w:val="20"/>
              </w:rPr>
            </w:pPr>
            <w:r w:rsidRPr="00F51C02">
              <w:rPr>
                <w:sz w:val="20"/>
                <w:szCs w:val="20"/>
              </w:rPr>
              <w:t>To be addressed separately</w:t>
            </w:r>
          </w:p>
        </w:tc>
      </w:tr>
      <w:tr w:rsidR="00C17472" w:rsidRPr="00F51C02" w14:paraId="38EA62E2" w14:textId="77777777" w:rsidTr="00C17472">
        <w:trPr>
          <w:trHeight w:val="300"/>
        </w:trPr>
        <w:tc>
          <w:tcPr>
            <w:tcW w:w="2086" w:type="dxa"/>
            <w:noWrap/>
          </w:tcPr>
          <w:p w14:paraId="78FE2277" w14:textId="223FDF4C" w:rsidR="00C17472" w:rsidRPr="00F51C02" w:rsidRDefault="00C17472" w:rsidP="00C17472">
            <w:pPr>
              <w:rPr>
                <w:sz w:val="20"/>
                <w:szCs w:val="20"/>
              </w:rPr>
            </w:pPr>
            <w:r w:rsidRPr="00F51C02">
              <w:rPr>
                <w:sz w:val="20"/>
                <w:szCs w:val="20"/>
              </w:rPr>
              <w:t>Testosterone</w:t>
            </w:r>
          </w:p>
        </w:tc>
        <w:tc>
          <w:tcPr>
            <w:tcW w:w="2587" w:type="dxa"/>
            <w:noWrap/>
          </w:tcPr>
          <w:p w14:paraId="487D14E8" w14:textId="07663C1B" w:rsidR="00C17472" w:rsidRPr="00F51C02" w:rsidRDefault="00C17472" w:rsidP="00C17472">
            <w:pPr>
              <w:rPr>
                <w:sz w:val="20"/>
                <w:szCs w:val="20"/>
              </w:rPr>
            </w:pPr>
            <w:r w:rsidRPr="00F51C02">
              <w:rPr>
                <w:sz w:val="20"/>
                <w:szCs w:val="20"/>
              </w:rPr>
              <w:t>Transgender Health - Children and Young People</w:t>
            </w:r>
          </w:p>
        </w:tc>
        <w:tc>
          <w:tcPr>
            <w:tcW w:w="575" w:type="dxa"/>
            <w:noWrap/>
          </w:tcPr>
          <w:p w14:paraId="0197F4DB" w14:textId="781C94F2" w:rsidR="00C17472" w:rsidRPr="00F51C02" w:rsidRDefault="00C17472" w:rsidP="00C17472">
            <w:pPr>
              <w:rPr>
                <w:sz w:val="20"/>
                <w:szCs w:val="20"/>
              </w:rPr>
            </w:pPr>
            <w:r w:rsidRPr="00F51C02">
              <w:rPr>
                <w:sz w:val="20"/>
                <w:szCs w:val="20"/>
              </w:rPr>
              <w:t>no</w:t>
            </w:r>
          </w:p>
        </w:tc>
        <w:tc>
          <w:tcPr>
            <w:tcW w:w="4402" w:type="dxa"/>
            <w:noWrap/>
          </w:tcPr>
          <w:p w14:paraId="3D99309A" w14:textId="306EBF9A" w:rsidR="00C17472" w:rsidRPr="00F51C02" w:rsidRDefault="00C17472" w:rsidP="00C17472">
            <w:pPr>
              <w:rPr>
                <w:sz w:val="20"/>
                <w:szCs w:val="20"/>
              </w:rPr>
            </w:pPr>
            <w:r w:rsidRPr="00F51C02">
              <w:rPr>
                <w:sz w:val="20"/>
                <w:szCs w:val="20"/>
              </w:rPr>
              <w:t>To be addressed separately</w:t>
            </w:r>
          </w:p>
        </w:tc>
      </w:tr>
      <w:tr w:rsidR="00C17472" w:rsidRPr="00F51C02" w14:paraId="0B945E2F" w14:textId="77777777" w:rsidTr="00C17472">
        <w:trPr>
          <w:trHeight w:val="300"/>
        </w:trPr>
        <w:tc>
          <w:tcPr>
            <w:tcW w:w="2086" w:type="dxa"/>
            <w:noWrap/>
            <w:hideMark/>
          </w:tcPr>
          <w:p w14:paraId="629C0BCB" w14:textId="77777777" w:rsidR="00C17472" w:rsidRPr="00F51C02" w:rsidRDefault="00C17472" w:rsidP="00C17472">
            <w:pPr>
              <w:rPr>
                <w:sz w:val="20"/>
                <w:szCs w:val="20"/>
              </w:rPr>
            </w:pPr>
            <w:proofErr w:type="spellStart"/>
            <w:r w:rsidRPr="00F51C02">
              <w:rPr>
                <w:sz w:val="20"/>
                <w:szCs w:val="20"/>
              </w:rPr>
              <w:t>Eslicarbazepine</w:t>
            </w:r>
            <w:proofErr w:type="spellEnd"/>
            <w:r w:rsidRPr="00F51C02">
              <w:rPr>
                <w:sz w:val="20"/>
                <w:szCs w:val="20"/>
              </w:rPr>
              <w:t xml:space="preserve"> acetate</w:t>
            </w:r>
          </w:p>
        </w:tc>
        <w:tc>
          <w:tcPr>
            <w:tcW w:w="2587" w:type="dxa"/>
            <w:noWrap/>
            <w:hideMark/>
          </w:tcPr>
          <w:p w14:paraId="177D6675" w14:textId="77777777" w:rsidR="00C17472" w:rsidRPr="00F51C02" w:rsidRDefault="00C17472" w:rsidP="00C17472">
            <w:pPr>
              <w:rPr>
                <w:sz w:val="20"/>
                <w:szCs w:val="20"/>
              </w:rPr>
            </w:pPr>
            <w:r w:rsidRPr="00F51C02">
              <w:rPr>
                <w:sz w:val="20"/>
                <w:szCs w:val="20"/>
              </w:rPr>
              <w:t>Epilepsy</w:t>
            </w:r>
          </w:p>
        </w:tc>
        <w:tc>
          <w:tcPr>
            <w:tcW w:w="575" w:type="dxa"/>
            <w:noWrap/>
            <w:hideMark/>
          </w:tcPr>
          <w:p w14:paraId="40D045B6" w14:textId="77777777" w:rsidR="00C17472" w:rsidRPr="00F51C02" w:rsidRDefault="00C17472" w:rsidP="00C17472">
            <w:pPr>
              <w:rPr>
                <w:sz w:val="20"/>
                <w:szCs w:val="20"/>
              </w:rPr>
            </w:pPr>
            <w:r w:rsidRPr="00F51C02">
              <w:rPr>
                <w:sz w:val="20"/>
                <w:szCs w:val="20"/>
              </w:rPr>
              <w:t>no</w:t>
            </w:r>
          </w:p>
        </w:tc>
        <w:tc>
          <w:tcPr>
            <w:tcW w:w="4402" w:type="dxa"/>
            <w:noWrap/>
            <w:hideMark/>
          </w:tcPr>
          <w:p w14:paraId="110F1B3B" w14:textId="10792EDF" w:rsidR="00C17472" w:rsidRPr="00F51C02" w:rsidRDefault="00C17472" w:rsidP="00C17472">
            <w:pPr>
              <w:rPr>
                <w:sz w:val="20"/>
                <w:szCs w:val="20"/>
              </w:rPr>
            </w:pPr>
            <w:r w:rsidRPr="00F51C02">
              <w:rPr>
                <w:sz w:val="20"/>
                <w:szCs w:val="20"/>
              </w:rPr>
              <w:t>A</w:t>
            </w:r>
            <w:r w:rsidR="001909FF">
              <w:rPr>
                <w:sz w:val="20"/>
                <w:szCs w:val="20"/>
              </w:rPr>
              <w:t>s</w:t>
            </w:r>
            <w:r w:rsidRPr="00F51C02">
              <w:rPr>
                <w:sz w:val="20"/>
                <w:szCs w:val="20"/>
              </w:rPr>
              <w:t xml:space="preserve"> there is a </w:t>
            </w:r>
            <w:r w:rsidR="001909FF" w:rsidRPr="00F51C02">
              <w:rPr>
                <w:sz w:val="20"/>
                <w:szCs w:val="20"/>
              </w:rPr>
              <w:t>requirement</w:t>
            </w:r>
            <w:r w:rsidRPr="00F51C02">
              <w:rPr>
                <w:sz w:val="20"/>
                <w:szCs w:val="20"/>
              </w:rPr>
              <w:t xml:space="preserve"> to monitor U </w:t>
            </w:r>
            <w:r w:rsidR="006E08CC">
              <w:rPr>
                <w:sz w:val="20"/>
                <w:szCs w:val="20"/>
              </w:rPr>
              <w:t>&amp;</w:t>
            </w:r>
            <w:r w:rsidRPr="00F51C02">
              <w:rPr>
                <w:sz w:val="20"/>
                <w:szCs w:val="20"/>
              </w:rPr>
              <w:t xml:space="preserve"> E, FBC, LFT every 2 years if monitoring is not undertaken in secondary care or if patient discharged to primary care </w:t>
            </w:r>
            <w:r w:rsidRPr="001909FF">
              <w:rPr>
                <w:b/>
                <w:bCs/>
                <w:sz w:val="20"/>
                <w:szCs w:val="20"/>
              </w:rPr>
              <w:t xml:space="preserve">recommended to </w:t>
            </w:r>
            <w:r w:rsidR="006E08CC">
              <w:rPr>
                <w:b/>
                <w:bCs/>
                <w:sz w:val="20"/>
                <w:szCs w:val="20"/>
              </w:rPr>
              <w:t xml:space="preserve">remain amber and </w:t>
            </w:r>
            <w:r w:rsidRPr="001909FF">
              <w:rPr>
                <w:b/>
                <w:bCs/>
                <w:sz w:val="20"/>
                <w:szCs w:val="20"/>
              </w:rPr>
              <w:t>include within LCS</w:t>
            </w:r>
          </w:p>
        </w:tc>
      </w:tr>
      <w:tr w:rsidR="00C17472" w:rsidRPr="00F51C02" w14:paraId="2C9CBAF1" w14:textId="77777777" w:rsidTr="00C17472">
        <w:trPr>
          <w:trHeight w:val="300"/>
        </w:trPr>
        <w:tc>
          <w:tcPr>
            <w:tcW w:w="2086" w:type="dxa"/>
            <w:noWrap/>
            <w:hideMark/>
          </w:tcPr>
          <w:p w14:paraId="5E05952E" w14:textId="77777777" w:rsidR="00C17472" w:rsidRPr="00F51C02" w:rsidRDefault="00C17472" w:rsidP="00C17472">
            <w:pPr>
              <w:rPr>
                <w:sz w:val="20"/>
                <w:szCs w:val="20"/>
              </w:rPr>
            </w:pPr>
            <w:r w:rsidRPr="00F51C02">
              <w:rPr>
                <w:sz w:val="20"/>
                <w:szCs w:val="20"/>
              </w:rPr>
              <w:t>Liothyronine sodium</w:t>
            </w:r>
          </w:p>
        </w:tc>
        <w:tc>
          <w:tcPr>
            <w:tcW w:w="2587" w:type="dxa"/>
            <w:noWrap/>
            <w:hideMark/>
          </w:tcPr>
          <w:p w14:paraId="1738DD28" w14:textId="77777777" w:rsidR="00C17472" w:rsidRPr="00F51C02" w:rsidRDefault="00C17472" w:rsidP="00C17472">
            <w:pPr>
              <w:rPr>
                <w:sz w:val="20"/>
                <w:szCs w:val="20"/>
              </w:rPr>
            </w:pPr>
            <w:r w:rsidRPr="00F51C02">
              <w:rPr>
                <w:sz w:val="20"/>
                <w:szCs w:val="20"/>
              </w:rPr>
              <w:t>Hypothyroidism with inadequate response to levothyroxine</w:t>
            </w:r>
          </w:p>
        </w:tc>
        <w:tc>
          <w:tcPr>
            <w:tcW w:w="575" w:type="dxa"/>
            <w:noWrap/>
            <w:hideMark/>
          </w:tcPr>
          <w:p w14:paraId="7B88FA08" w14:textId="77777777" w:rsidR="00C17472" w:rsidRPr="00F51C02" w:rsidRDefault="00C17472" w:rsidP="00C17472">
            <w:pPr>
              <w:rPr>
                <w:sz w:val="20"/>
                <w:szCs w:val="20"/>
              </w:rPr>
            </w:pPr>
            <w:r w:rsidRPr="00F51C02">
              <w:rPr>
                <w:sz w:val="20"/>
                <w:szCs w:val="20"/>
              </w:rPr>
              <w:t>no</w:t>
            </w:r>
          </w:p>
        </w:tc>
        <w:tc>
          <w:tcPr>
            <w:tcW w:w="4402" w:type="dxa"/>
            <w:noWrap/>
            <w:hideMark/>
          </w:tcPr>
          <w:p w14:paraId="50ECEF14" w14:textId="75BD2196" w:rsidR="00C17472" w:rsidRPr="00F51C02" w:rsidRDefault="00853E1D" w:rsidP="00853E1D">
            <w:pPr>
              <w:rPr>
                <w:sz w:val="20"/>
                <w:szCs w:val="20"/>
              </w:rPr>
            </w:pPr>
            <w:r w:rsidRPr="00F51C02">
              <w:rPr>
                <w:sz w:val="20"/>
                <w:szCs w:val="20"/>
              </w:rPr>
              <w:t xml:space="preserve">Currently shared care in combo with levothyroxine - normal monitoring requirements as per levothyroxine. Specialist responsibilities are to prescribe, monitor and assess response biochemically and assess physical and psychological wellbeing after at least 3 months of treatment and until treatment dose is stabilised. </w:t>
            </w:r>
            <w:r w:rsidR="001909FF" w:rsidRPr="001909FF">
              <w:rPr>
                <w:b/>
                <w:bCs/>
                <w:color w:val="0070C0"/>
                <w:sz w:val="20"/>
                <w:szCs w:val="20"/>
              </w:rPr>
              <w:t>Recommendation for APC to c</w:t>
            </w:r>
            <w:r w:rsidRPr="001909FF">
              <w:rPr>
                <w:b/>
                <w:bCs/>
                <w:color w:val="0070C0"/>
                <w:sz w:val="20"/>
                <w:szCs w:val="20"/>
              </w:rPr>
              <w:t>hange to BLUE status</w:t>
            </w:r>
          </w:p>
        </w:tc>
      </w:tr>
      <w:tr w:rsidR="00C17472" w:rsidRPr="00F51C02" w14:paraId="0D3CDD7B" w14:textId="77777777" w:rsidTr="00C17472">
        <w:trPr>
          <w:trHeight w:val="300"/>
        </w:trPr>
        <w:tc>
          <w:tcPr>
            <w:tcW w:w="2086" w:type="dxa"/>
            <w:noWrap/>
            <w:hideMark/>
          </w:tcPr>
          <w:p w14:paraId="13BC7FE0" w14:textId="77777777" w:rsidR="00C17472" w:rsidRPr="00F51C02" w:rsidRDefault="00C17472" w:rsidP="00C17472">
            <w:pPr>
              <w:rPr>
                <w:sz w:val="20"/>
                <w:szCs w:val="20"/>
              </w:rPr>
            </w:pPr>
            <w:r w:rsidRPr="00F51C02">
              <w:rPr>
                <w:sz w:val="20"/>
                <w:szCs w:val="20"/>
              </w:rPr>
              <w:t>Liothyronine sodium</w:t>
            </w:r>
          </w:p>
        </w:tc>
        <w:tc>
          <w:tcPr>
            <w:tcW w:w="2587" w:type="dxa"/>
            <w:noWrap/>
            <w:hideMark/>
          </w:tcPr>
          <w:p w14:paraId="4182836D" w14:textId="77777777" w:rsidR="00C17472" w:rsidRPr="00F51C02" w:rsidRDefault="00C17472" w:rsidP="00C17472">
            <w:pPr>
              <w:rPr>
                <w:sz w:val="20"/>
                <w:szCs w:val="20"/>
              </w:rPr>
            </w:pPr>
            <w:r w:rsidRPr="00F51C02">
              <w:rPr>
                <w:sz w:val="20"/>
                <w:szCs w:val="20"/>
              </w:rPr>
              <w:t>Hypothyroidism with intolerance to levothyroxine</w:t>
            </w:r>
          </w:p>
        </w:tc>
        <w:tc>
          <w:tcPr>
            <w:tcW w:w="575" w:type="dxa"/>
            <w:noWrap/>
            <w:hideMark/>
          </w:tcPr>
          <w:p w14:paraId="46F8B846" w14:textId="77777777" w:rsidR="00C17472" w:rsidRPr="00F51C02" w:rsidRDefault="00C17472" w:rsidP="00C17472">
            <w:pPr>
              <w:rPr>
                <w:sz w:val="20"/>
                <w:szCs w:val="20"/>
              </w:rPr>
            </w:pPr>
            <w:r w:rsidRPr="00F51C02">
              <w:rPr>
                <w:sz w:val="20"/>
                <w:szCs w:val="20"/>
              </w:rPr>
              <w:t>no</w:t>
            </w:r>
          </w:p>
        </w:tc>
        <w:tc>
          <w:tcPr>
            <w:tcW w:w="4402" w:type="dxa"/>
            <w:noWrap/>
            <w:hideMark/>
          </w:tcPr>
          <w:p w14:paraId="4EC240CD" w14:textId="0C0CCB7F" w:rsidR="00C17472" w:rsidRPr="00F51C02" w:rsidRDefault="00C17472" w:rsidP="00C17472">
            <w:pPr>
              <w:rPr>
                <w:sz w:val="20"/>
                <w:szCs w:val="20"/>
              </w:rPr>
            </w:pPr>
            <w:r w:rsidRPr="00F51C02">
              <w:rPr>
                <w:sz w:val="20"/>
                <w:szCs w:val="20"/>
              </w:rPr>
              <w:t xml:space="preserve">annual BTs same as </w:t>
            </w:r>
            <w:proofErr w:type="spellStart"/>
            <w:r w:rsidRPr="00F51C02">
              <w:rPr>
                <w:sz w:val="20"/>
                <w:szCs w:val="20"/>
              </w:rPr>
              <w:t>levothryroxine</w:t>
            </w:r>
            <w:proofErr w:type="spellEnd"/>
            <w:r w:rsidR="00853E1D" w:rsidRPr="00F51C02">
              <w:rPr>
                <w:sz w:val="20"/>
                <w:szCs w:val="20"/>
              </w:rPr>
              <w:t xml:space="preserve">. Specialist responsibilities as above. </w:t>
            </w:r>
            <w:r w:rsidR="001909FF" w:rsidRPr="001909FF">
              <w:rPr>
                <w:b/>
                <w:bCs/>
                <w:color w:val="0070C0"/>
                <w:sz w:val="20"/>
                <w:szCs w:val="20"/>
              </w:rPr>
              <w:t>Recommendation for APC to change to BLUE status</w:t>
            </w:r>
          </w:p>
        </w:tc>
      </w:tr>
      <w:tr w:rsidR="00C17472" w:rsidRPr="00F51C02" w14:paraId="3AB49D33" w14:textId="77777777" w:rsidTr="00C17472">
        <w:trPr>
          <w:trHeight w:val="300"/>
        </w:trPr>
        <w:tc>
          <w:tcPr>
            <w:tcW w:w="2086" w:type="dxa"/>
            <w:noWrap/>
            <w:hideMark/>
          </w:tcPr>
          <w:p w14:paraId="41168FDF" w14:textId="77777777" w:rsidR="00C17472" w:rsidRPr="00F51C02" w:rsidRDefault="00C17472" w:rsidP="00C17472">
            <w:pPr>
              <w:rPr>
                <w:sz w:val="20"/>
                <w:szCs w:val="20"/>
              </w:rPr>
            </w:pPr>
            <w:r w:rsidRPr="00F51C02">
              <w:rPr>
                <w:sz w:val="20"/>
                <w:szCs w:val="20"/>
              </w:rPr>
              <w:t>Modafinil</w:t>
            </w:r>
          </w:p>
        </w:tc>
        <w:tc>
          <w:tcPr>
            <w:tcW w:w="2587" w:type="dxa"/>
            <w:noWrap/>
            <w:hideMark/>
          </w:tcPr>
          <w:p w14:paraId="199A3BAD" w14:textId="77777777" w:rsidR="00C17472" w:rsidRPr="00F51C02" w:rsidRDefault="00C17472" w:rsidP="00C17472">
            <w:pPr>
              <w:rPr>
                <w:sz w:val="20"/>
                <w:szCs w:val="20"/>
              </w:rPr>
            </w:pPr>
            <w:r w:rsidRPr="00F51C02">
              <w:rPr>
                <w:sz w:val="20"/>
                <w:szCs w:val="20"/>
              </w:rPr>
              <w:t>Narcolepsy</w:t>
            </w:r>
          </w:p>
        </w:tc>
        <w:tc>
          <w:tcPr>
            <w:tcW w:w="575" w:type="dxa"/>
            <w:noWrap/>
            <w:hideMark/>
          </w:tcPr>
          <w:p w14:paraId="4CF01145" w14:textId="77777777" w:rsidR="00C17472" w:rsidRPr="00F51C02" w:rsidRDefault="00C17472" w:rsidP="00C17472">
            <w:pPr>
              <w:rPr>
                <w:sz w:val="20"/>
                <w:szCs w:val="20"/>
              </w:rPr>
            </w:pPr>
            <w:r w:rsidRPr="00F51C02">
              <w:rPr>
                <w:sz w:val="20"/>
                <w:szCs w:val="20"/>
              </w:rPr>
              <w:t>no</w:t>
            </w:r>
          </w:p>
        </w:tc>
        <w:tc>
          <w:tcPr>
            <w:tcW w:w="4402" w:type="dxa"/>
            <w:noWrap/>
            <w:hideMark/>
          </w:tcPr>
          <w:p w14:paraId="30D37177" w14:textId="6E2B0F10" w:rsidR="00C17472" w:rsidRPr="00F51C02" w:rsidRDefault="00C17472" w:rsidP="00C17472">
            <w:pPr>
              <w:rPr>
                <w:sz w:val="20"/>
                <w:szCs w:val="20"/>
              </w:rPr>
            </w:pPr>
            <w:r w:rsidRPr="00F51C02">
              <w:rPr>
                <w:sz w:val="20"/>
                <w:szCs w:val="20"/>
              </w:rPr>
              <w:t>BP and HR 6 monthly. Red for all other indications</w:t>
            </w:r>
            <w:r w:rsidR="00853E1D" w:rsidRPr="00F51C02">
              <w:rPr>
                <w:sz w:val="20"/>
                <w:szCs w:val="20"/>
              </w:rPr>
              <w:t xml:space="preserve">. </w:t>
            </w:r>
            <w:r w:rsidR="001909FF">
              <w:rPr>
                <w:sz w:val="20"/>
                <w:szCs w:val="20"/>
              </w:rPr>
              <w:t xml:space="preserve"> </w:t>
            </w:r>
            <w:r w:rsidR="001909FF" w:rsidRPr="001909FF">
              <w:rPr>
                <w:b/>
                <w:bCs/>
                <w:sz w:val="20"/>
                <w:szCs w:val="20"/>
              </w:rPr>
              <w:t>Recommended t</w:t>
            </w:r>
            <w:r w:rsidR="00853E1D" w:rsidRPr="001909FF">
              <w:rPr>
                <w:b/>
                <w:bCs/>
                <w:sz w:val="20"/>
                <w:szCs w:val="20"/>
              </w:rPr>
              <w:t>o</w:t>
            </w:r>
            <w:r w:rsidR="006E08CC">
              <w:rPr>
                <w:b/>
                <w:bCs/>
                <w:sz w:val="20"/>
                <w:szCs w:val="20"/>
              </w:rPr>
              <w:t xml:space="preserve"> remain amber and</w:t>
            </w:r>
            <w:r w:rsidR="00853E1D" w:rsidRPr="001909FF">
              <w:rPr>
                <w:b/>
                <w:bCs/>
                <w:sz w:val="20"/>
                <w:szCs w:val="20"/>
              </w:rPr>
              <w:t xml:space="preserve"> be included within LCS for this indication only.</w:t>
            </w:r>
          </w:p>
        </w:tc>
      </w:tr>
      <w:tr w:rsidR="00C17472" w:rsidRPr="00F51C02" w14:paraId="3B142C61" w14:textId="77777777" w:rsidTr="00C17472">
        <w:trPr>
          <w:trHeight w:val="300"/>
        </w:trPr>
        <w:tc>
          <w:tcPr>
            <w:tcW w:w="2086" w:type="dxa"/>
            <w:noWrap/>
            <w:hideMark/>
          </w:tcPr>
          <w:p w14:paraId="464B681C" w14:textId="77777777" w:rsidR="00C17472" w:rsidRPr="00F51C02" w:rsidRDefault="00C17472" w:rsidP="00C17472">
            <w:pPr>
              <w:rPr>
                <w:sz w:val="20"/>
                <w:szCs w:val="20"/>
              </w:rPr>
            </w:pPr>
            <w:r w:rsidRPr="00F51C02">
              <w:rPr>
                <w:sz w:val="20"/>
                <w:szCs w:val="20"/>
              </w:rPr>
              <w:t>Rufinamide</w:t>
            </w:r>
          </w:p>
        </w:tc>
        <w:tc>
          <w:tcPr>
            <w:tcW w:w="2587" w:type="dxa"/>
            <w:noWrap/>
            <w:hideMark/>
          </w:tcPr>
          <w:p w14:paraId="55E5CFD0" w14:textId="77777777" w:rsidR="00C17472" w:rsidRPr="00F51C02" w:rsidRDefault="00C17472" w:rsidP="00C17472">
            <w:pPr>
              <w:rPr>
                <w:sz w:val="20"/>
                <w:szCs w:val="20"/>
              </w:rPr>
            </w:pPr>
            <w:r w:rsidRPr="00F51C02">
              <w:rPr>
                <w:sz w:val="20"/>
                <w:szCs w:val="20"/>
              </w:rPr>
              <w:t>Epilepsy</w:t>
            </w:r>
          </w:p>
        </w:tc>
        <w:tc>
          <w:tcPr>
            <w:tcW w:w="575" w:type="dxa"/>
            <w:noWrap/>
            <w:hideMark/>
          </w:tcPr>
          <w:p w14:paraId="6C625000" w14:textId="77777777" w:rsidR="00C17472" w:rsidRPr="00F51C02" w:rsidRDefault="00C17472" w:rsidP="00C17472">
            <w:pPr>
              <w:rPr>
                <w:sz w:val="20"/>
                <w:szCs w:val="20"/>
              </w:rPr>
            </w:pPr>
            <w:r w:rsidRPr="00F51C02">
              <w:rPr>
                <w:sz w:val="20"/>
                <w:szCs w:val="20"/>
              </w:rPr>
              <w:t>no</w:t>
            </w:r>
          </w:p>
        </w:tc>
        <w:tc>
          <w:tcPr>
            <w:tcW w:w="4402" w:type="dxa"/>
            <w:noWrap/>
            <w:hideMark/>
          </w:tcPr>
          <w:p w14:paraId="12A4105B" w14:textId="02C00BBD" w:rsidR="00C17472" w:rsidRPr="00F51C02" w:rsidRDefault="00853E1D" w:rsidP="00C17472">
            <w:pPr>
              <w:rPr>
                <w:sz w:val="20"/>
                <w:szCs w:val="20"/>
              </w:rPr>
            </w:pPr>
            <w:r w:rsidRPr="00F51C02">
              <w:rPr>
                <w:sz w:val="20"/>
                <w:szCs w:val="20"/>
              </w:rPr>
              <w:t>N</w:t>
            </w:r>
            <w:r w:rsidR="00C17472" w:rsidRPr="00F51C02">
              <w:rPr>
                <w:sz w:val="20"/>
                <w:szCs w:val="20"/>
              </w:rPr>
              <w:t xml:space="preserve">o shared care </w:t>
            </w:r>
            <w:r w:rsidR="001909FF" w:rsidRPr="00F51C02">
              <w:rPr>
                <w:sz w:val="20"/>
                <w:szCs w:val="20"/>
              </w:rPr>
              <w:t>document, no</w:t>
            </w:r>
            <w:r w:rsidR="00C17472" w:rsidRPr="00F51C02">
              <w:rPr>
                <w:sz w:val="20"/>
                <w:szCs w:val="20"/>
              </w:rPr>
              <w:t xml:space="preserve"> </w:t>
            </w:r>
            <w:r w:rsidR="00941B09">
              <w:rPr>
                <w:sz w:val="20"/>
                <w:szCs w:val="20"/>
              </w:rPr>
              <w:t xml:space="preserve">routine monitoring required by primary care. Patient to continue to keep seizure diary. </w:t>
            </w:r>
            <w:r w:rsidRPr="00F51C02">
              <w:rPr>
                <w:sz w:val="20"/>
                <w:szCs w:val="20"/>
              </w:rPr>
              <w:t xml:space="preserve"> </w:t>
            </w:r>
            <w:r w:rsidR="00941B09" w:rsidRPr="001909FF">
              <w:rPr>
                <w:b/>
                <w:bCs/>
                <w:color w:val="0070C0"/>
                <w:sz w:val="20"/>
                <w:szCs w:val="20"/>
              </w:rPr>
              <w:t>Recommendation for APC to change to BLUE status</w:t>
            </w:r>
          </w:p>
        </w:tc>
      </w:tr>
      <w:tr w:rsidR="00C17472" w:rsidRPr="00F51C02" w14:paraId="08D1EAEA" w14:textId="77777777" w:rsidTr="00C17472">
        <w:trPr>
          <w:trHeight w:val="300"/>
        </w:trPr>
        <w:tc>
          <w:tcPr>
            <w:tcW w:w="2086" w:type="dxa"/>
            <w:noWrap/>
            <w:hideMark/>
          </w:tcPr>
          <w:p w14:paraId="440CD136" w14:textId="77777777" w:rsidR="00C17472" w:rsidRPr="00F51C02" w:rsidRDefault="00C17472" w:rsidP="00C17472">
            <w:pPr>
              <w:rPr>
                <w:sz w:val="20"/>
                <w:szCs w:val="20"/>
              </w:rPr>
            </w:pPr>
            <w:proofErr w:type="spellStart"/>
            <w:r w:rsidRPr="00F51C02">
              <w:rPr>
                <w:sz w:val="20"/>
                <w:szCs w:val="20"/>
              </w:rPr>
              <w:t>Somatrogon</w:t>
            </w:r>
            <w:proofErr w:type="spellEnd"/>
          </w:p>
        </w:tc>
        <w:tc>
          <w:tcPr>
            <w:tcW w:w="2587" w:type="dxa"/>
            <w:noWrap/>
            <w:hideMark/>
          </w:tcPr>
          <w:p w14:paraId="3AC2E9EC" w14:textId="77777777" w:rsidR="00C17472" w:rsidRPr="00F51C02" w:rsidRDefault="00C17472" w:rsidP="00C17472">
            <w:pPr>
              <w:rPr>
                <w:sz w:val="20"/>
                <w:szCs w:val="20"/>
              </w:rPr>
            </w:pPr>
            <w:r w:rsidRPr="00F51C02">
              <w:rPr>
                <w:sz w:val="20"/>
                <w:szCs w:val="20"/>
              </w:rPr>
              <w:t>Growth failure - children</w:t>
            </w:r>
          </w:p>
        </w:tc>
        <w:tc>
          <w:tcPr>
            <w:tcW w:w="575" w:type="dxa"/>
            <w:noWrap/>
            <w:hideMark/>
          </w:tcPr>
          <w:p w14:paraId="6294CC63" w14:textId="77777777" w:rsidR="00C17472" w:rsidRPr="00F51C02" w:rsidRDefault="00C17472" w:rsidP="00C17472">
            <w:pPr>
              <w:rPr>
                <w:sz w:val="20"/>
                <w:szCs w:val="20"/>
              </w:rPr>
            </w:pPr>
            <w:r w:rsidRPr="00F51C02">
              <w:rPr>
                <w:sz w:val="20"/>
                <w:szCs w:val="20"/>
              </w:rPr>
              <w:t>no</w:t>
            </w:r>
          </w:p>
        </w:tc>
        <w:tc>
          <w:tcPr>
            <w:tcW w:w="4402" w:type="dxa"/>
            <w:noWrap/>
            <w:hideMark/>
          </w:tcPr>
          <w:p w14:paraId="0171E103" w14:textId="445CB797" w:rsidR="00C17472" w:rsidRPr="00F51C02" w:rsidRDefault="00F51C02" w:rsidP="00F51C02">
            <w:pPr>
              <w:rPr>
                <w:sz w:val="20"/>
                <w:szCs w:val="20"/>
              </w:rPr>
            </w:pPr>
            <w:r w:rsidRPr="00F51C02">
              <w:rPr>
                <w:sz w:val="20"/>
                <w:szCs w:val="20"/>
              </w:rPr>
              <w:t xml:space="preserve">No specific monitoring required by primary care. However, prescribers should remain vigilant to unusual symptoms and possible adverse effects </w:t>
            </w:r>
            <w:r w:rsidRPr="00F51C02">
              <w:rPr>
                <w:sz w:val="20"/>
                <w:szCs w:val="20"/>
              </w:rPr>
              <w:lastRenderedPageBreak/>
              <w:t xml:space="preserve">to treatment and to treat, seek advice or refer to secondary care as appropriate. </w:t>
            </w:r>
            <w:r w:rsidR="006E08CC" w:rsidRPr="001909FF">
              <w:rPr>
                <w:b/>
                <w:bCs/>
                <w:color w:val="0070C0"/>
                <w:sz w:val="20"/>
                <w:szCs w:val="20"/>
              </w:rPr>
              <w:t>Recommendation for APC to change to BLUE status</w:t>
            </w:r>
          </w:p>
        </w:tc>
      </w:tr>
      <w:tr w:rsidR="00F51C02" w:rsidRPr="00F51C02" w14:paraId="3F297109" w14:textId="77777777" w:rsidTr="00C17472">
        <w:trPr>
          <w:trHeight w:val="300"/>
        </w:trPr>
        <w:tc>
          <w:tcPr>
            <w:tcW w:w="2086" w:type="dxa"/>
            <w:noWrap/>
            <w:hideMark/>
          </w:tcPr>
          <w:p w14:paraId="782DB6AC" w14:textId="77777777" w:rsidR="00F51C02" w:rsidRPr="00F51C02" w:rsidRDefault="00F51C02" w:rsidP="00F51C02">
            <w:pPr>
              <w:rPr>
                <w:sz w:val="20"/>
                <w:szCs w:val="20"/>
              </w:rPr>
            </w:pPr>
            <w:r w:rsidRPr="00F51C02">
              <w:rPr>
                <w:sz w:val="20"/>
                <w:szCs w:val="20"/>
              </w:rPr>
              <w:lastRenderedPageBreak/>
              <w:t>Somatropin</w:t>
            </w:r>
          </w:p>
        </w:tc>
        <w:tc>
          <w:tcPr>
            <w:tcW w:w="2587" w:type="dxa"/>
            <w:noWrap/>
            <w:hideMark/>
          </w:tcPr>
          <w:p w14:paraId="0CC5DB83" w14:textId="77777777" w:rsidR="00F51C02" w:rsidRPr="00F51C02" w:rsidRDefault="00F51C02" w:rsidP="00F51C02">
            <w:pPr>
              <w:rPr>
                <w:sz w:val="20"/>
                <w:szCs w:val="20"/>
              </w:rPr>
            </w:pPr>
            <w:r w:rsidRPr="00F51C02">
              <w:rPr>
                <w:sz w:val="20"/>
                <w:szCs w:val="20"/>
              </w:rPr>
              <w:t>Growth failure - adults</w:t>
            </w:r>
          </w:p>
        </w:tc>
        <w:tc>
          <w:tcPr>
            <w:tcW w:w="575" w:type="dxa"/>
            <w:noWrap/>
            <w:hideMark/>
          </w:tcPr>
          <w:p w14:paraId="1D82E591" w14:textId="77777777" w:rsidR="00F51C02" w:rsidRPr="00F51C02" w:rsidRDefault="00F51C02" w:rsidP="00F51C02">
            <w:pPr>
              <w:rPr>
                <w:sz w:val="20"/>
                <w:szCs w:val="20"/>
              </w:rPr>
            </w:pPr>
            <w:r w:rsidRPr="00F51C02">
              <w:rPr>
                <w:sz w:val="20"/>
                <w:szCs w:val="20"/>
              </w:rPr>
              <w:t>no</w:t>
            </w:r>
          </w:p>
        </w:tc>
        <w:tc>
          <w:tcPr>
            <w:tcW w:w="4402" w:type="dxa"/>
            <w:noWrap/>
            <w:hideMark/>
          </w:tcPr>
          <w:p w14:paraId="41ADAF43" w14:textId="1C381151" w:rsidR="00F51C02" w:rsidRPr="00F51C02" w:rsidRDefault="00F51C02" w:rsidP="00F51C02">
            <w:pPr>
              <w:rPr>
                <w:sz w:val="20"/>
                <w:szCs w:val="20"/>
              </w:rPr>
            </w:pPr>
            <w:r w:rsidRPr="00F51C02">
              <w:rPr>
                <w:sz w:val="20"/>
                <w:szCs w:val="20"/>
              </w:rPr>
              <w:t xml:space="preserve">No specific monitoring required by primary care. However, prescribers should remain vigilant to unusual symptoms and possible adverse effects to treatment and to treat, seek advice or refer to secondary care as appropriate. </w:t>
            </w:r>
            <w:r w:rsidR="006E08CC" w:rsidRPr="001909FF">
              <w:rPr>
                <w:b/>
                <w:bCs/>
                <w:color w:val="0070C0"/>
                <w:sz w:val="20"/>
                <w:szCs w:val="20"/>
              </w:rPr>
              <w:t>Recommendation for APC to change to BLUE status</w:t>
            </w:r>
          </w:p>
        </w:tc>
      </w:tr>
      <w:tr w:rsidR="00F51C02" w:rsidRPr="00F51C02" w14:paraId="48C7A443" w14:textId="77777777" w:rsidTr="00C17472">
        <w:trPr>
          <w:trHeight w:val="300"/>
        </w:trPr>
        <w:tc>
          <w:tcPr>
            <w:tcW w:w="2086" w:type="dxa"/>
            <w:noWrap/>
            <w:hideMark/>
          </w:tcPr>
          <w:p w14:paraId="33E23BFD" w14:textId="77777777" w:rsidR="00F51C02" w:rsidRPr="00F51C02" w:rsidRDefault="00F51C02" w:rsidP="00F51C02">
            <w:pPr>
              <w:rPr>
                <w:sz w:val="20"/>
                <w:szCs w:val="20"/>
              </w:rPr>
            </w:pPr>
            <w:r w:rsidRPr="00F51C02">
              <w:rPr>
                <w:sz w:val="20"/>
                <w:szCs w:val="20"/>
              </w:rPr>
              <w:t>Somatropin</w:t>
            </w:r>
          </w:p>
        </w:tc>
        <w:tc>
          <w:tcPr>
            <w:tcW w:w="2587" w:type="dxa"/>
            <w:noWrap/>
            <w:hideMark/>
          </w:tcPr>
          <w:p w14:paraId="09242AF6" w14:textId="77777777" w:rsidR="00F51C02" w:rsidRPr="00F51C02" w:rsidRDefault="00F51C02" w:rsidP="00F51C02">
            <w:pPr>
              <w:rPr>
                <w:sz w:val="20"/>
                <w:szCs w:val="20"/>
              </w:rPr>
            </w:pPr>
            <w:r w:rsidRPr="00F51C02">
              <w:rPr>
                <w:sz w:val="20"/>
                <w:szCs w:val="20"/>
              </w:rPr>
              <w:t>Growth failure - children</w:t>
            </w:r>
          </w:p>
        </w:tc>
        <w:tc>
          <w:tcPr>
            <w:tcW w:w="575" w:type="dxa"/>
            <w:noWrap/>
            <w:hideMark/>
          </w:tcPr>
          <w:p w14:paraId="4B90CEDF" w14:textId="77777777" w:rsidR="00F51C02" w:rsidRPr="00F51C02" w:rsidRDefault="00F51C02" w:rsidP="00F51C02">
            <w:pPr>
              <w:rPr>
                <w:sz w:val="20"/>
                <w:szCs w:val="20"/>
              </w:rPr>
            </w:pPr>
            <w:r w:rsidRPr="00F51C02">
              <w:rPr>
                <w:sz w:val="20"/>
                <w:szCs w:val="20"/>
              </w:rPr>
              <w:t>no</w:t>
            </w:r>
          </w:p>
        </w:tc>
        <w:tc>
          <w:tcPr>
            <w:tcW w:w="4402" w:type="dxa"/>
            <w:noWrap/>
            <w:hideMark/>
          </w:tcPr>
          <w:p w14:paraId="0D5D2100" w14:textId="5E8B139C" w:rsidR="00F51C02" w:rsidRPr="00F51C02" w:rsidRDefault="00F51C02" w:rsidP="00F51C02">
            <w:pPr>
              <w:rPr>
                <w:sz w:val="20"/>
                <w:szCs w:val="20"/>
              </w:rPr>
            </w:pPr>
            <w:r w:rsidRPr="00F51C02">
              <w:rPr>
                <w:sz w:val="20"/>
                <w:szCs w:val="20"/>
              </w:rPr>
              <w:t xml:space="preserve">No specific monitoring required by primary care. However, prescribers should remain vigilant to unusual symptoms and possible adverse effects to treatment and to treat, seek advice or refer to secondary care as appropriate. </w:t>
            </w:r>
            <w:r w:rsidR="006E08CC" w:rsidRPr="001909FF">
              <w:rPr>
                <w:b/>
                <w:bCs/>
                <w:color w:val="0070C0"/>
                <w:sz w:val="20"/>
                <w:szCs w:val="20"/>
              </w:rPr>
              <w:t>Recommendation for APC to change to BLUE status</w:t>
            </w:r>
          </w:p>
        </w:tc>
      </w:tr>
    </w:tbl>
    <w:p w14:paraId="5A251A65" w14:textId="77777777" w:rsidR="00B9704E" w:rsidRDefault="00B9704E" w:rsidP="00C8666E">
      <w:pPr>
        <w:rPr>
          <w:sz w:val="24"/>
          <w:szCs w:val="24"/>
        </w:rPr>
      </w:pPr>
    </w:p>
    <w:p w14:paraId="22500C02" w14:textId="77777777" w:rsidR="001909FF" w:rsidRDefault="001909FF" w:rsidP="00C8666E">
      <w:pPr>
        <w:rPr>
          <w:sz w:val="24"/>
          <w:szCs w:val="24"/>
        </w:rPr>
      </w:pPr>
    </w:p>
    <w:p w14:paraId="5A71C956" w14:textId="5176717F" w:rsidR="001909FF" w:rsidRDefault="001909FF" w:rsidP="00C8666E">
      <w:pPr>
        <w:rPr>
          <w:sz w:val="24"/>
          <w:szCs w:val="24"/>
        </w:rPr>
      </w:pPr>
      <w:r>
        <w:rPr>
          <w:sz w:val="24"/>
          <w:szCs w:val="24"/>
        </w:rPr>
        <w:t xml:space="preserve">Additionally, MOB are asked to consider </w:t>
      </w:r>
    </w:p>
    <w:p w14:paraId="41CF215E" w14:textId="77777777" w:rsidR="00B9704E" w:rsidRDefault="00B9704E" w:rsidP="00C8666E">
      <w:pPr>
        <w:rPr>
          <w:sz w:val="24"/>
          <w:szCs w:val="24"/>
        </w:rPr>
      </w:pPr>
    </w:p>
    <w:tbl>
      <w:tblPr>
        <w:tblStyle w:val="TableGrid"/>
        <w:tblW w:w="9650" w:type="dxa"/>
        <w:tblLook w:val="04A0" w:firstRow="1" w:lastRow="0" w:firstColumn="1" w:lastColumn="0" w:noHBand="0" w:noVBand="1"/>
      </w:tblPr>
      <w:tblGrid>
        <w:gridCol w:w="2086"/>
        <w:gridCol w:w="2587"/>
        <w:gridCol w:w="575"/>
        <w:gridCol w:w="4402"/>
      </w:tblGrid>
      <w:tr w:rsidR="001909FF" w:rsidRPr="00F51C02" w14:paraId="1F5F53AF" w14:textId="77777777" w:rsidTr="00CD7911">
        <w:trPr>
          <w:trHeight w:val="300"/>
        </w:trPr>
        <w:tc>
          <w:tcPr>
            <w:tcW w:w="2086" w:type="dxa"/>
            <w:noWrap/>
            <w:hideMark/>
          </w:tcPr>
          <w:p w14:paraId="283F8B75" w14:textId="3E6D1E30" w:rsidR="001909FF" w:rsidRPr="00F51C02" w:rsidRDefault="001909FF" w:rsidP="00CD7911">
            <w:pPr>
              <w:rPr>
                <w:sz w:val="20"/>
                <w:szCs w:val="20"/>
              </w:rPr>
            </w:pPr>
            <w:r>
              <w:rPr>
                <w:sz w:val="20"/>
                <w:szCs w:val="20"/>
              </w:rPr>
              <w:t>Testosterone</w:t>
            </w:r>
          </w:p>
        </w:tc>
        <w:tc>
          <w:tcPr>
            <w:tcW w:w="2587" w:type="dxa"/>
            <w:noWrap/>
            <w:hideMark/>
          </w:tcPr>
          <w:p w14:paraId="28D5D01C" w14:textId="24DBFE38" w:rsidR="001909FF" w:rsidRPr="00F51C02" w:rsidRDefault="001909FF" w:rsidP="00CD7911">
            <w:pPr>
              <w:rPr>
                <w:sz w:val="20"/>
                <w:szCs w:val="20"/>
              </w:rPr>
            </w:pPr>
            <w:r>
              <w:rPr>
                <w:sz w:val="20"/>
                <w:szCs w:val="20"/>
              </w:rPr>
              <w:t>Other indications in males</w:t>
            </w:r>
          </w:p>
        </w:tc>
        <w:tc>
          <w:tcPr>
            <w:tcW w:w="575" w:type="dxa"/>
            <w:noWrap/>
            <w:hideMark/>
          </w:tcPr>
          <w:p w14:paraId="2D9D9C63" w14:textId="77777777" w:rsidR="001909FF" w:rsidRPr="00F51C02" w:rsidRDefault="001909FF" w:rsidP="00CD7911">
            <w:pPr>
              <w:rPr>
                <w:sz w:val="20"/>
                <w:szCs w:val="20"/>
              </w:rPr>
            </w:pPr>
            <w:r w:rsidRPr="00F51C02">
              <w:rPr>
                <w:sz w:val="20"/>
                <w:szCs w:val="20"/>
              </w:rPr>
              <w:t>no</w:t>
            </w:r>
          </w:p>
        </w:tc>
        <w:tc>
          <w:tcPr>
            <w:tcW w:w="4402" w:type="dxa"/>
            <w:noWrap/>
            <w:hideMark/>
          </w:tcPr>
          <w:p w14:paraId="1285501E" w14:textId="0BDAD7FB" w:rsidR="001909FF" w:rsidRPr="00F51C02" w:rsidRDefault="001909FF" w:rsidP="00CD7911">
            <w:pPr>
              <w:rPr>
                <w:sz w:val="20"/>
                <w:szCs w:val="20"/>
              </w:rPr>
            </w:pPr>
            <w:r>
              <w:rPr>
                <w:sz w:val="20"/>
                <w:szCs w:val="20"/>
              </w:rPr>
              <w:t>Recommendation to include administration of injections within LCS</w:t>
            </w:r>
          </w:p>
        </w:tc>
      </w:tr>
    </w:tbl>
    <w:p w14:paraId="2A6D8C55" w14:textId="77777777" w:rsidR="00B9704E" w:rsidRDefault="00B9704E" w:rsidP="00C8666E">
      <w:pPr>
        <w:rPr>
          <w:sz w:val="24"/>
          <w:szCs w:val="24"/>
        </w:rPr>
      </w:pPr>
    </w:p>
    <w:p w14:paraId="6208C62E" w14:textId="77777777" w:rsidR="00B9704E" w:rsidRDefault="00B9704E" w:rsidP="00C8666E">
      <w:pPr>
        <w:rPr>
          <w:sz w:val="24"/>
          <w:szCs w:val="24"/>
        </w:rPr>
      </w:pPr>
    </w:p>
    <w:p w14:paraId="104AE417" w14:textId="2473BAFB" w:rsidR="00B9704E" w:rsidRDefault="00290AF0" w:rsidP="00C8666E">
      <w:pPr>
        <w:rPr>
          <w:b/>
          <w:bCs/>
          <w:sz w:val="24"/>
          <w:szCs w:val="24"/>
        </w:rPr>
      </w:pPr>
      <w:r w:rsidRPr="00290AF0">
        <w:rPr>
          <w:b/>
          <w:bCs/>
          <w:sz w:val="24"/>
          <w:szCs w:val="24"/>
        </w:rPr>
        <w:t>Summary</w:t>
      </w:r>
    </w:p>
    <w:p w14:paraId="4B596999" w14:textId="77777777" w:rsidR="00290AF0" w:rsidRPr="00290AF0" w:rsidRDefault="00290AF0" w:rsidP="00C8666E">
      <w:pPr>
        <w:rPr>
          <w:sz w:val="24"/>
          <w:szCs w:val="24"/>
        </w:rPr>
      </w:pPr>
    </w:p>
    <w:p w14:paraId="6FEEB5D9" w14:textId="1ADABABD" w:rsidR="00290AF0" w:rsidRDefault="00290AF0" w:rsidP="00290AF0">
      <w:pPr>
        <w:rPr>
          <w:sz w:val="24"/>
          <w:szCs w:val="24"/>
        </w:rPr>
      </w:pPr>
      <w:r w:rsidRPr="00290AF0">
        <w:rPr>
          <w:sz w:val="24"/>
          <w:szCs w:val="24"/>
        </w:rPr>
        <w:t xml:space="preserve">Acceptance of shared care arrangements by general practice is voluntary, and a decision to decline or discontinue shared care does not constitute a breach of contract. However, </w:t>
      </w:r>
      <w:r>
        <w:rPr>
          <w:sz w:val="24"/>
          <w:szCs w:val="24"/>
        </w:rPr>
        <w:t xml:space="preserve">it </w:t>
      </w:r>
      <w:r w:rsidRPr="00290AF0">
        <w:rPr>
          <w:sz w:val="24"/>
          <w:szCs w:val="24"/>
        </w:rPr>
        <w:t>is anticipated that the recommendations outlined above will support practices in accepting and continuing shared care where this is appropriate and safe to do so.</w:t>
      </w:r>
    </w:p>
    <w:p w14:paraId="6838B962" w14:textId="77777777" w:rsidR="00290AF0" w:rsidRPr="00290AF0" w:rsidRDefault="00290AF0" w:rsidP="00290AF0">
      <w:pPr>
        <w:rPr>
          <w:sz w:val="24"/>
          <w:szCs w:val="24"/>
        </w:rPr>
      </w:pPr>
    </w:p>
    <w:p w14:paraId="33C32B36" w14:textId="77777777" w:rsidR="00290AF0" w:rsidRPr="00290AF0" w:rsidRDefault="00290AF0" w:rsidP="00290AF0">
      <w:pPr>
        <w:rPr>
          <w:sz w:val="24"/>
          <w:szCs w:val="24"/>
        </w:rPr>
      </w:pPr>
      <w:r w:rsidRPr="00290AF0">
        <w:rPr>
          <w:sz w:val="24"/>
          <w:szCs w:val="24"/>
        </w:rPr>
        <w:t>It is further recommended that:</w:t>
      </w:r>
    </w:p>
    <w:p w14:paraId="615D8750" w14:textId="77777777" w:rsidR="00290AF0" w:rsidRPr="00290AF0" w:rsidRDefault="00290AF0" w:rsidP="00290AF0">
      <w:pPr>
        <w:rPr>
          <w:sz w:val="24"/>
          <w:szCs w:val="24"/>
        </w:rPr>
      </w:pPr>
      <w:r w:rsidRPr="00290AF0">
        <w:rPr>
          <w:sz w:val="24"/>
          <w:szCs w:val="24"/>
        </w:rPr>
        <w:t>• Where a practice decides to discontinue shared care, robust arrangements are in place to ensure continuity of prescribing and the safe transfer of clinical responsibility, without compromising patient care.</w:t>
      </w:r>
    </w:p>
    <w:p w14:paraId="4A44B28F" w14:textId="5C1CF9F4" w:rsidR="00290AF0" w:rsidRPr="00290AF0" w:rsidRDefault="00290AF0" w:rsidP="00290AF0">
      <w:pPr>
        <w:rPr>
          <w:sz w:val="24"/>
          <w:szCs w:val="24"/>
        </w:rPr>
      </w:pPr>
      <w:r w:rsidRPr="00290AF0">
        <w:rPr>
          <w:sz w:val="24"/>
          <w:szCs w:val="24"/>
        </w:rPr>
        <w:t>• Prior to referral to NHS, private, or Right to Choose services, patients are provided with clear and comprehensive information to manage expectations, including the possibility that shared care requests from the provider may not be accepted by general practice.</w:t>
      </w:r>
    </w:p>
    <w:p w14:paraId="7E7A7441" w14:textId="77777777" w:rsidR="00B9704E" w:rsidRDefault="00B9704E" w:rsidP="00C8666E">
      <w:pPr>
        <w:rPr>
          <w:sz w:val="24"/>
          <w:szCs w:val="24"/>
        </w:rPr>
      </w:pPr>
    </w:p>
    <w:p w14:paraId="12D5F13B" w14:textId="77777777" w:rsidR="00B9704E" w:rsidRDefault="00B9704E" w:rsidP="00C8666E">
      <w:pPr>
        <w:rPr>
          <w:sz w:val="24"/>
          <w:szCs w:val="24"/>
        </w:rPr>
      </w:pPr>
    </w:p>
    <w:sectPr w:rsidR="00B9704E" w:rsidSect="008A1F40">
      <w:footerReference w:type="default" r:id="rId14"/>
      <w:pgSz w:w="11906" w:h="16838"/>
      <w:pgMar w:top="1440" w:right="1440" w:bottom="1440" w:left="144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MITH, Nikki (NHS SURREY HEARTLANDS ICB - 92A)" w:date="2026-03-20T15:01:00Z" w:initials="NS">
    <w:p w14:paraId="6602D835" w14:textId="77777777" w:rsidR="007642C4" w:rsidRDefault="007642C4" w:rsidP="007642C4">
      <w:pPr>
        <w:pStyle w:val="CommentText"/>
      </w:pPr>
      <w:r>
        <w:rPr>
          <w:rStyle w:val="CommentReference"/>
        </w:rPr>
        <w:annotationRef/>
      </w:r>
      <w:r>
        <w:t>Amended typo</w:t>
      </w:r>
    </w:p>
  </w:comment>
  <w:comment w:id="1" w:author="SMITH, Nikki (NHS SURREY HEARTLANDS ICB - 92A)" w:date="2026-03-20T15:03:00Z" w:initials="NS">
    <w:p w14:paraId="37F5DD03" w14:textId="77777777" w:rsidR="007642C4" w:rsidRDefault="007642C4" w:rsidP="007642C4">
      <w:pPr>
        <w:pStyle w:val="CommentText"/>
      </w:pPr>
      <w:r>
        <w:rPr>
          <w:rStyle w:val="CommentReference"/>
        </w:rPr>
        <w:annotationRef/>
      </w:r>
      <w:r>
        <w:t>Added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602D835" w15:done="1"/>
  <w15:commentEx w15:paraId="37F5DD03"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F2E1D58" w16cex:dateUtc="2026-03-20T15:01:00Z"/>
  <w16cex:commentExtensible w16cex:durableId="362CD6F0" w16cex:dateUtc="2026-03-20T15: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602D835" w16cid:durableId="3F2E1D58"/>
  <w16cid:commentId w16cid:paraId="37F5DD03" w16cid:durableId="362CD6F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3F220" w14:textId="77777777" w:rsidR="004F547C" w:rsidRDefault="004F547C" w:rsidP="004F547C">
      <w:pPr>
        <w:spacing w:line="240" w:lineRule="auto"/>
      </w:pPr>
      <w:r>
        <w:separator/>
      </w:r>
    </w:p>
  </w:endnote>
  <w:endnote w:type="continuationSeparator" w:id="0">
    <w:p w14:paraId="153B7620" w14:textId="77777777" w:rsidR="004F547C" w:rsidRDefault="004F547C" w:rsidP="004F54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3664632"/>
      <w:docPartObj>
        <w:docPartGallery w:val="Page Numbers (Bottom of Page)"/>
        <w:docPartUnique/>
      </w:docPartObj>
    </w:sdtPr>
    <w:sdtEndPr/>
    <w:sdtContent>
      <w:sdt>
        <w:sdtPr>
          <w:id w:val="-1769616900"/>
          <w:docPartObj>
            <w:docPartGallery w:val="Page Numbers (Top of Page)"/>
            <w:docPartUnique/>
          </w:docPartObj>
        </w:sdtPr>
        <w:sdtEndPr/>
        <w:sdtContent>
          <w:p w14:paraId="1EDDF86F" w14:textId="5C894FC9" w:rsidR="001F6BAD" w:rsidRDefault="001F6BAD" w:rsidP="001F6BAD">
            <w:pPr>
              <w:pStyle w:val="Footer"/>
            </w:pPr>
            <w:r>
              <w:t xml:space="preserve">Author:  </w:t>
            </w:r>
          </w:p>
          <w:p w14:paraId="3AF087BE" w14:textId="5BC4903A" w:rsidR="004F547C" w:rsidRDefault="004F547C">
            <w:pPr>
              <w:pStyle w:val="Footer"/>
              <w:jc w:val="right"/>
            </w:pP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of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778E0900" w14:textId="77777777" w:rsidR="004F547C" w:rsidRDefault="004F54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2F80A" w14:textId="77777777" w:rsidR="004F547C" w:rsidRDefault="004F547C" w:rsidP="004F547C">
      <w:pPr>
        <w:spacing w:line="240" w:lineRule="auto"/>
      </w:pPr>
      <w:r>
        <w:separator/>
      </w:r>
    </w:p>
  </w:footnote>
  <w:footnote w:type="continuationSeparator" w:id="0">
    <w:p w14:paraId="5C9E2174" w14:textId="77777777" w:rsidR="004F547C" w:rsidRDefault="004F547C" w:rsidP="004F547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614AB"/>
    <w:multiLevelType w:val="hybridMultilevel"/>
    <w:tmpl w:val="518A7068"/>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15C1959"/>
    <w:multiLevelType w:val="hybridMultilevel"/>
    <w:tmpl w:val="2436AC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0B7B75"/>
    <w:multiLevelType w:val="hybridMultilevel"/>
    <w:tmpl w:val="28B4D4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7485932"/>
    <w:multiLevelType w:val="hybridMultilevel"/>
    <w:tmpl w:val="9D381312"/>
    <w:lvl w:ilvl="0" w:tplc="0818C5EA">
      <w:start w:val="1"/>
      <w:numFmt w:val="decimal"/>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9E509F9"/>
    <w:multiLevelType w:val="hybridMultilevel"/>
    <w:tmpl w:val="28FEDF5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9960EEB"/>
    <w:multiLevelType w:val="hybridMultilevel"/>
    <w:tmpl w:val="5A9CA250"/>
    <w:lvl w:ilvl="0" w:tplc="0809000F">
      <w:start w:val="1"/>
      <w:numFmt w:val="decimal"/>
      <w:lvlText w:val="%1."/>
      <w:lvlJc w:val="left"/>
      <w:pPr>
        <w:ind w:left="360" w:hanging="360"/>
      </w:pPr>
      <w:rPr>
        <w:rFonts w:hint="default"/>
      </w:rPr>
    </w:lvl>
    <w:lvl w:ilvl="1" w:tplc="74206248">
      <w:start w:val="1"/>
      <w:numFmt w:val="lowerLetter"/>
      <w:lvlText w:val="%2."/>
      <w:lvlJc w:val="left"/>
      <w:pPr>
        <w:ind w:left="1080" w:hanging="360"/>
      </w:pPr>
      <w:rPr>
        <w:b w:val="0"/>
        <w:bCs w:val="0"/>
        <w:sz w:val="17"/>
        <w:szCs w:val="17"/>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A7A3F32"/>
    <w:multiLevelType w:val="hybridMultilevel"/>
    <w:tmpl w:val="6C92B596"/>
    <w:lvl w:ilvl="0" w:tplc="CFA692E8">
      <w:numFmt w:val="bullet"/>
      <w:lvlText w:val="-"/>
      <w:lvlJc w:val="left"/>
      <w:pPr>
        <w:ind w:left="360" w:hanging="360"/>
      </w:pPr>
      <w:rPr>
        <w:rFonts w:ascii="Aptos" w:eastAsiaTheme="minorHAnsi" w:hAnsi="Aptos" w:cstheme="minorBid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2AFF3DCD"/>
    <w:multiLevelType w:val="hybridMultilevel"/>
    <w:tmpl w:val="240E8E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4431A8C"/>
    <w:multiLevelType w:val="hybridMultilevel"/>
    <w:tmpl w:val="A43E474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5284C48"/>
    <w:multiLevelType w:val="hybridMultilevel"/>
    <w:tmpl w:val="9DFA11C6"/>
    <w:lvl w:ilvl="0" w:tplc="2F9E4184">
      <w:start w:val="1"/>
      <w:numFmt w:val="decimal"/>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4D160E97"/>
    <w:multiLevelType w:val="hybridMultilevel"/>
    <w:tmpl w:val="9FEC896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58A27727"/>
    <w:multiLevelType w:val="hybridMultilevel"/>
    <w:tmpl w:val="23281C1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FCB47D1"/>
    <w:multiLevelType w:val="hybridMultilevel"/>
    <w:tmpl w:val="CC30F0C4"/>
    <w:lvl w:ilvl="0" w:tplc="0F72ED9A">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62B20C02"/>
    <w:multiLevelType w:val="hybridMultilevel"/>
    <w:tmpl w:val="5CDE4374"/>
    <w:lvl w:ilvl="0" w:tplc="CFA692E8">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DA0654"/>
    <w:multiLevelType w:val="hybridMultilevel"/>
    <w:tmpl w:val="D8D4CD2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7820EAA"/>
    <w:multiLevelType w:val="hybridMultilevel"/>
    <w:tmpl w:val="8836F5A4"/>
    <w:lvl w:ilvl="0" w:tplc="214E18CA">
      <w:start w:val="1"/>
      <w:numFmt w:val="bullet"/>
      <w:lvlText w:val=""/>
      <w:lvlJc w:val="left"/>
      <w:pPr>
        <w:ind w:left="1080" w:hanging="360"/>
      </w:pPr>
      <w:rPr>
        <w:rFonts w:ascii="Symbol" w:hAnsi="Symbol"/>
      </w:rPr>
    </w:lvl>
    <w:lvl w:ilvl="1" w:tplc="72EA0690">
      <w:start w:val="1"/>
      <w:numFmt w:val="bullet"/>
      <w:lvlText w:val=""/>
      <w:lvlJc w:val="left"/>
      <w:pPr>
        <w:ind w:left="1080" w:hanging="360"/>
      </w:pPr>
      <w:rPr>
        <w:rFonts w:ascii="Symbol" w:hAnsi="Symbol"/>
      </w:rPr>
    </w:lvl>
    <w:lvl w:ilvl="2" w:tplc="2ED89392">
      <w:start w:val="1"/>
      <w:numFmt w:val="bullet"/>
      <w:lvlText w:val=""/>
      <w:lvlJc w:val="left"/>
      <w:pPr>
        <w:ind w:left="1080" w:hanging="360"/>
      </w:pPr>
      <w:rPr>
        <w:rFonts w:ascii="Symbol" w:hAnsi="Symbol"/>
      </w:rPr>
    </w:lvl>
    <w:lvl w:ilvl="3" w:tplc="D1788866">
      <w:start w:val="1"/>
      <w:numFmt w:val="bullet"/>
      <w:lvlText w:val=""/>
      <w:lvlJc w:val="left"/>
      <w:pPr>
        <w:ind w:left="1080" w:hanging="360"/>
      </w:pPr>
      <w:rPr>
        <w:rFonts w:ascii="Symbol" w:hAnsi="Symbol"/>
      </w:rPr>
    </w:lvl>
    <w:lvl w:ilvl="4" w:tplc="4880CC60">
      <w:start w:val="1"/>
      <w:numFmt w:val="bullet"/>
      <w:lvlText w:val=""/>
      <w:lvlJc w:val="left"/>
      <w:pPr>
        <w:ind w:left="1080" w:hanging="360"/>
      </w:pPr>
      <w:rPr>
        <w:rFonts w:ascii="Symbol" w:hAnsi="Symbol"/>
      </w:rPr>
    </w:lvl>
    <w:lvl w:ilvl="5" w:tplc="2A16EE90">
      <w:start w:val="1"/>
      <w:numFmt w:val="bullet"/>
      <w:lvlText w:val=""/>
      <w:lvlJc w:val="left"/>
      <w:pPr>
        <w:ind w:left="1080" w:hanging="360"/>
      </w:pPr>
      <w:rPr>
        <w:rFonts w:ascii="Symbol" w:hAnsi="Symbol"/>
      </w:rPr>
    </w:lvl>
    <w:lvl w:ilvl="6" w:tplc="8C2E4548">
      <w:start w:val="1"/>
      <w:numFmt w:val="bullet"/>
      <w:lvlText w:val=""/>
      <w:lvlJc w:val="left"/>
      <w:pPr>
        <w:ind w:left="1080" w:hanging="360"/>
      </w:pPr>
      <w:rPr>
        <w:rFonts w:ascii="Symbol" w:hAnsi="Symbol"/>
      </w:rPr>
    </w:lvl>
    <w:lvl w:ilvl="7" w:tplc="55F27B4A">
      <w:start w:val="1"/>
      <w:numFmt w:val="bullet"/>
      <w:lvlText w:val=""/>
      <w:lvlJc w:val="left"/>
      <w:pPr>
        <w:ind w:left="1080" w:hanging="360"/>
      </w:pPr>
      <w:rPr>
        <w:rFonts w:ascii="Symbol" w:hAnsi="Symbol"/>
      </w:rPr>
    </w:lvl>
    <w:lvl w:ilvl="8" w:tplc="3A321CB4">
      <w:start w:val="1"/>
      <w:numFmt w:val="bullet"/>
      <w:lvlText w:val=""/>
      <w:lvlJc w:val="left"/>
      <w:pPr>
        <w:ind w:left="1080" w:hanging="360"/>
      </w:pPr>
      <w:rPr>
        <w:rFonts w:ascii="Symbol" w:hAnsi="Symbol"/>
      </w:rPr>
    </w:lvl>
  </w:abstractNum>
  <w:abstractNum w:abstractNumId="16" w15:restartNumberingAfterBreak="0">
    <w:nsid w:val="79783BFC"/>
    <w:multiLevelType w:val="hybridMultilevel"/>
    <w:tmpl w:val="F3386D20"/>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2021662177">
    <w:abstractNumId w:val="11"/>
  </w:num>
  <w:num w:numId="2" w16cid:durableId="1457946130">
    <w:abstractNumId w:val="4"/>
  </w:num>
  <w:num w:numId="3" w16cid:durableId="412043506">
    <w:abstractNumId w:val="14"/>
  </w:num>
  <w:num w:numId="4" w16cid:durableId="431513599">
    <w:abstractNumId w:val="5"/>
  </w:num>
  <w:num w:numId="5" w16cid:durableId="762536456">
    <w:abstractNumId w:val="0"/>
  </w:num>
  <w:num w:numId="6" w16cid:durableId="937523030">
    <w:abstractNumId w:val="13"/>
  </w:num>
  <w:num w:numId="7" w16cid:durableId="2037383773">
    <w:abstractNumId w:val="3"/>
  </w:num>
  <w:num w:numId="8" w16cid:durableId="779109530">
    <w:abstractNumId w:val="12"/>
  </w:num>
  <w:num w:numId="9" w16cid:durableId="282419784">
    <w:abstractNumId w:val="7"/>
  </w:num>
  <w:num w:numId="10" w16cid:durableId="764964456">
    <w:abstractNumId w:val="8"/>
  </w:num>
  <w:num w:numId="11" w16cid:durableId="68043071">
    <w:abstractNumId w:val="10"/>
  </w:num>
  <w:num w:numId="12" w16cid:durableId="1470393090">
    <w:abstractNumId w:val="16"/>
  </w:num>
  <w:num w:numId="13" w16cid:durableId="1705786411">
    <w:abstractNumId w:val="9"/>
  </w:num>
  <w:num w:numId="14" w16cid:durableId="891499129">
    <w:abstractNumId w:val="15"/>
  </w:num>
  <w:num w:numId="15" w16cid:durableId="889614911">
    <w:abstractNumId w:val="6"/>
  </w:num>
  <w:num w:numId="16" w16cid:durableId="96098727">
    <w:abstractNumId w:val="2"/>
  </w:num>
  <w:num w:numId="17" w16cid:durableId="3122604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MITH, Nikki (NHS SURREY HEARTLANDS ICB - 92A)">
    <w15:presenceInfo w15:providerId="AD" w15:userId="S::nikki.smith24@nhs.net::c1e7d665-463b-43f6-a149-7dffba67b2f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8B4"/>
    <w:rsid w:val="00042C3F"/>
    <w:rsid w:val="00064212"/>
    <w:rsid w:val="00085959"/>
    <w:rsid w:val="000E3486"/>
    <w:rsid w:val="001126C1"/>
    <w:rsid w:val="00151E10"/>
    <w:rsid w:val="0017783E"/>
    <w:rsid w:val="0018072F"/>
    <w:rsid w:val="001909FF"/>
    <w:rsid w:val="0019271F"/>
    <w:rsid w:val="001B0D61"/>
    <w:rsid w:val="001C1B1F"/>
    <w:rsid w:val="001F6BAD"/>
    <w:rsid w:val="00222510"/>
    <w:rsid w:val="00247440"/>
    <w:rsid w:val="00270FD6"/>
    <w:rsid w:val="002712F9"/>
    <w:rsid w:val="00284267"/>
    <w:rsid w:val="00290AF0"/>
    <w:rsid w:val="00290C17"/>
    <w:rsid w:val="002C20CE"/>
    <w:rsid w:val="002F1EEA"/>
    <w:rsid w:val="002F420B"/>
    <w:rsid w:val="00301A35"/>
    <w:rsid w:val="0031632C"/>
    <w:rsid w:val="00374B8D"/>
    <w:rsid w:val="00386ECC"/>
    <w:rsid w:val="003A0C2B"/>
    <w:rsid w:val="003C6DFA"/>
    <w:rsid w:val="00422B51"/>
    <w:rsid w:val="00453040"/>
    <w:rsid w:val="004742CA"/>
    <w:rsid w:val="00492D63"/>
    <w:rsid w:val="00496BF8"/>
    <w:rsid w:val="004C2042"/>
    <w:rsid w:val="004D426C"/>
    <w:rsid w:val="004D48B4"/>
    <w:rsid w:val="004F547C"/>
    <w:rsid w:val="00525177"/>
    <w:rsid w:val="00567550"/>
    <w:rsid w:val="005A64E1"/>
    <w:rsid w:val="005F00F8"/>
    <w:rsid w:val="006245BA"/>
    <w:rsid w:val="00651359"/>
    <w:rsid w:val="00663F2A"/>
    <w:rsid w:val="006B0F82"/>
    <w:rsid w:val="006E08CC"/>
    <w:rsid w:val="007642C4"/>
    <w:rsid w:val="007F3AE4"/>
    <w:rsid w:val="008168D7"/>
    <w:rsid w:val="00825ADB"/>
    <w:rsid w:val="008265D6"/>
    <w:rsid w:val="00830E6F"/>
    <w:rsid w:val="00847725"/>
    <w:rsid w:val="00853E1D"/>
    <w:rsid w:val="00863164"/>
    <w:rsid w:val="008735AF"/>
    <w:rsid w:val="008A1F40"/>
    <w:rsid w:val="008D05EC"/>
    <w:rsid w:val="008E2A95"/>
    <w:rsid w:val="008F0B54"/>
    <w:rsid w:val="008F4500"/>
    <w:rsid w:val="009023C1"/>
    <w:rsid w:val="009079FF"/>
    <w:rsid w:val="00941B09"/>
    <w:rsid w:val="00991929"/>
    <w:rsid w:val="009F174E"/>
    <w:rsid w:val="00A02419"/>
    <w:rsid w:val="00A702C1"/>
    <w:rsid w:val="00A8701F"/>
    <w:rsid w:val="00AE25E5"/>
    <w:rsid w:val="00B15455"/>
    <w:rsid w:val="00B71030"/>
    <w:rsid w:val="00B87E99"/>
    <w:rsid w:val="00B9704E"/>
    <w:rsid w:val="00BB6061"/>
    <w:rsid w:val="00BD0C12"/>
    <w:rsid w:val="00BD6C6F"/>
    <w:rsid w:val="00C17472"/>
    <w:rsid w:val="00C245FE"/>
    <w:rsid w:val="00C408DA"/>
    <w:rsid w:val="00C415FD"/>
    <w:rsid w:val="00C622E9"/>
    <w:rsid w:val="00C8666E"/>
    <w:rsid w:val="00C926E2"/>
    <w:rsid w:val="00C97A2C"/>
    <w:rsid w:val="00CB19DB"/>
    <w:rsid w:val="00CB4606"/>
    <w:rsid w:val="00D3762B"/>
    <w:rsid w:val="00D86100"/>
    <w:rsid w:val="00DF4DA2"/>
    <w:rsid w:val="00E221B9"/>
    <w:rsid w:val="00E27288"/>
    <w:rsid w:val="00E44345"/>
    <w:rsid w:val="00E552D7"/>
    <w:rsid w:val="00ED6F5F"/>
    <w:rsid w:val="00F2211E"/>
    <w:rsid w:val="00F44BE7"/>
    <w:rsid w:val="00F51C02"/>
    <w:rsid w:val="00F55EDF"/>
    <w:rsid w:val="00F564B8"/>
    <w:rsid w:val="00F8476C"/>
    <w:rsid w:val="00F8549C"/>
    <w:rsid w:val="00FE1FED"/>
    <w:rsid w:val="00FE4D44"/>
    <w:rsid w:val="00FF31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C9564"/>
  <w15:chartTrackingRefBased/>
  <w15:docId w15:val="{9E926460-9181-4A3E-8029-4C23A1FD2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09FF"/>
  </w:style>
  <w:style w:type="paragraph" w:styleId="Heading1">
    <w:name w:val="heading 1"/>
    <w:basedOn w:val="Normal"/>
    <w:next w:val="Normal"/>
    <w:link w:val="Heading1Char"/>
    <w:uiPriority w:val="9"/>
    <w:qFormat/>
    <w:rsid w:val="004D48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48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48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48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48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48B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48B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48B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48B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48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48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48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48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48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48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48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48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48B4"/>
    <w:rPr>
      <w:rFonts w:eastAsiaTheme="majorEastAsia" w:cstheme="majorBidi"/>
      <w:color w:val="272727" w:themeColor="text1" w:themeTint="D8"/>
    </w:rPr>
  </w:style>
  <w:style w:type="paragraph" w:styleId="Title">
    <w:name w:val="Title"/>
    <w:basedOn w:val="Normal"/>
    <w:next w:val="Normal"/>
    <w:link w:val="TitleChar"/>
    <w:uiPriority w:val="10"/>
    <w:qFormat/>
    <w:rsid w:val="004D48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48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48B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48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48B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D48B4"/>
    <w:rPr>
      <w:i/>
      <w:iCs/>
      <w:color w:val="404040" w:themeColor="text1" w:themeTint="BF"/>
    </w:rPr>
  </w:style>
  <w:style w:type="paragraph" w:styleId="ListParagraph">
    <w:name w:val="List Paragraph"/>
    <w:basedOn w:val="Normal"/>
    <w:uiPriority w:val="34"/>
    <w:qFormat/>
    <w:rsid w:val="004D48B4"/>
    <w:pPr>
      <w:ind w:left="720"/>
      <w:contextualSpacing/>
    </w:pPr>
  </w:style>
  <w:style w:type="character" w:styleId="IntenseEmphasis">
    <w:name w:val="Intense Emphasis"/>
    <w:basedOn w:val="DefaultParagraphFont"/>
    <w:uiPriority w:val="21"/>
    <w:qFormat/>
    <w:rsid w:val="004D48B4"/>
    <w:rPr>
      <w:i/>
      <w:iCs/>
      <w:color w:val="0F4761" w:themeColor="accent1" w:themeShade="BF"/>
    </w:rPr>
  </w:style>
  <w:style w:type="paragraph" w:styleId="IntenseQuote">
    <w:name w:val="Intense Quote"/>
    <w:basedOn w:val="Normal"/>
    <w:next w:val="Normal"/>
    <w:link w:val="IntenseQuoteChar"/>
    <w:uiPriority w:val="30"/>
    <w:qFormat/>
    <w:rsid w:val="004D48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48B4"/>
    <w:rPr>
      <w:i/>
      <w:iCs/>
      <w:color w:val="0F4761" w:themeColor="accent1" w:themeShade="BF"/>
    </w:rPr>
  </w:style>
  <w:style w:type="character" w:styleId="IntenseReference">
    <w:name w:val="Intense Reference"/>
    <w:basedOn w:val="DefaultParagraphFont"/>
    <w:uiPriority w:val="32"/>
    <w:qFormat/>
    <w:rsid w:val="004D48B4"/>
    <w:rPr>
      <w:b/>
      <w:bCs/>
      <w:smallCaps/>
      <w:color w:val="0F4761" w:themeColor="accent1" w:themeShade="BF"/>
      <w:spacing w:val="5"/>
    </w:rPr>
  </w:style>
  <w:style w:type="table" w:styleId="TableGrid">
    <w:name w:val="Table Grid"/>
    <w:basedOn w:val="TableNormal"/>
    <w:uiPriority w:val="39"/>
    <w:rsid w:val="004C204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F547C"/>
    <w:pPr>
      <w:tabs>
        <w:tab w:val="center" w:pos="4513"/>
        <w:tab w:val="right" w:pos="9026"/>
      </w:tabs>
      <w:spacing w:line="240" w:lineRule="auto"/>
    </w:pPr>
  </w:style>
  <w:style w:type="character" w:customStyle="1" w:styleId="HeaderChar">
    <w:name w:val="Header Char"/>
    <w:basedOn w:val="DefaultParagraphFont"/>
    <w:link w:val="Header"/>
    <w:uiPriority w:val="99"/>
    <w:rsid w:val="004F547C"/>
  </w:style>
  <w:style w:type="paragraph" w:styleId="Footer">
    <w:name w:val="footer"/>
    <w:basedOn w:val="Normal"/>
    <w:link w:val="FooterChar"/>
    <w:uiPriority w:val="99"/>
    <w:unhideWhenUsed/>
    <w:rsid w:val="004F547C"/>
    <w:pPr>
      <w:tabs>
        <w:tab w:val="center" w:pos="4513"/>
        <w:tab w:val="right" w:pos="9026"/>
      </w:tabs>
      <w:spacing w:line="240" w:lineRule="auto"/>
    </w:pPr>
  </w:style>
  <w:style w:type="character" w:customStyle="1" w:styleId="FooterChar">
    <w:name w:val="Footer Char"/>
    <w:basedOn w:val="DefaultParagraphFont"/>
    <w:link w:val="Footer"/>
    <w:uiPriority w:val="99"/>
    <w:rsid w:val="004F547C"/>
  </w:style>
  <w:style w:type="character" w:styleId="Hyperlink">
    <w:name w:val="Hyperlink"/>
    <w:basedOn w:val="DefaultParagraphFont"/>
    <w:uiPriority w:val="99"/>
    <w:unhideWhenUsed/>
    <w:rsid w:val="002F420B"/>
    <w:rPr>
      <w:color w:val="467886" w:themeColor="hyperlink"/>
      <w:u w:val="single"/>
    </w:rPr>
  </w:style>
  <w:style w:type="character" w:styleId="UnresolvedMention">
    <w:name w:val="Unresolved Mention"/>
    <w:basedOn w:val="DefaultParagraphFont"/>
    <w:uiPriority w:val="99"/>
    <w:semiHidden/>
    <w:unhideWhenUsed/>
    <w:rsid w:val="002F420B"/>
    <w:rPr>
      <w:color w:val="605E5C"/>
      <w:shd w:val="clear" w:color="auto" w:fill="E1DFDD"/>
    </w:rPr>
  </w:style>
  <w:style w:type="character" w:styleId="FollowedHyperlink">
    <w:name w:val="FollowedHyperlink"/>
    <w:basedOn w:val="DefaultParagraphFont"/>
    <w:uiPriority w:val="99"/>
    <w:semiHidden/>
    <w:unhideWhenUsed/>
    <w:rsid w:val="00F2211E"/>
    <w:rPr>
      <w:color w:val="96607D" w:themeColor="followedHyperlink"/>
      <w:u w:val="single"/>
    </w:rPr>
  </w:style>
  <w:style w:type="character" w:styleId="CommentReference">
    <w:name w:val="annotation reference"/>
    <w:basedOn w:val="DefaultParagraphFont"/>
    <w:uiPriority w:val="99"/>
    <w:semiHidden/>
    <w:unhideWhenUsed/>
    <w:rsid w:val="00567550"/>
    <w:rPr>
      <w:sz w:val="16"/>
      <w:szCs w:val="16"/>
    </w:rPr>
  </w:style>
  <w:style w:type="paragraph" w:styleId="CommentText">
    <w:name w:val="annotation text"/>
    <w:basedOn w:val="Normal"/>
    <w:link w:val="CommentTextChar"/>
    <w:uiPriority w:val="99"/>
    <w:unhideWhenUsed/>
    <w:rsid w:val="00567550"/>
    <w:pPr>
      <w:spacing w:line="240" w:lineRule="auto"/>
    </w:pPr>
    <w:rPr>
      <w:sz w:val="20"/>
      <w:szCs w:val="20"/>
    </w:rPr>
  </w:style>
  <w:style w:type="character" w:customStyle="1" w:styleId="CommentTextChar">
    <w:name w:val="Comment Text Char"/>
    <w:basedOn w:val="DefaultParagraphFont"/>
    <w:link w:val="CommentText"/>
    <w:uiPriority w:val="99"/>
    <w:rsid w:val="00567550"/>
    <w:rPr>
      <w:sz w:val="20"/>
      <w:szCs w:val="20"/>
    </w:rPr>
  </w:style>
  <w:style w:type="paragraph" w:styleId="CommentSubject">
    <w:name w:val="annotation subject"/>
    <w:basedOn w:val="CommentText"/>
    <w:next w:val="CommentText"/>
    <w:link w:val="CommentSubjectChar"/>
    <w:uiPriority w:val="99"/>
    <w:semiHidden/>
    <w:unhideWhenUsed/>
    <w:rsid w:val="00567550"/>
    <w:rPr>
      <w:b/>
      <w:bCs/>
    </w:rPr>
  </w:style>
  <w:style w:type="character" w:customStyle="1" w:styleId="CommentSubjectChar">
    <w:name w:val="Comment Subject Char"/>
    <w:basedOn w:val="CommentTextChar"/>
    <w:link w:val="CommentSubject"/>
    <w:uiPriority w:val="99"/>
    <w:semiHidden/>
    <w:rsid w:val="00567550"/>
    <w:rPr>
      <w:b/>
      <w:bCs/>
      <w:sz w:val="20"/>
      <w:szCs w:val="20"/>
    </w:rPr>
  </w:style>
  <w:style w:type="paragraph" w:styleId="Revision">
    <w:name w:val="Revision"/>
    <w:hidden/>
    <w:uiPriority w:val="99"/>
    <w:semiHidden/>
    <w:rsid w:val="00DF4DA2"/>
    <w:pPr>
      <w:spacing w:line="240" w:lineRule="auto"/>
    </w:pPr>
  </w:style>
  <w:style w:type="paragraph" w:styleId="NormalWeb">
    <w:name w:val="Normal (Web)"/>
    <w:basedOn w:val="Normal"/>
    <w:uiPriority w:val="99"/>
    <w:semiHidden/>
    <w:unhideWhenUsed/>
    <w:rsid w:val="00DF4DA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comments" Target="comments.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31AA938FE962A45A3E19DCBCF209F91" ma:contentTypeVersion="15" ma:contentTypeDescription="Create a new document." ma:contentTypeScope="" ma:versionID="9fc0fa76e878f5f3d653b75088ec5551">
  <xsd:schema xmlns:xsd="http://www.w3.org/2001/XMLSchema" xmlns:xs="http://www.w3.org/2001/XMLSchema" xmlns:p="http://schemas.microsoft.com/office/2006/metadata/properties" xmlns:ns3="32678723-8c06-45e1-8bd0-318b9868a43d" xmlns:ns4="5789755c-de38-4fe3-9623-40afa3bba1e2" targetNamespace="http://schemas.microsoft.com/office/2006/metadata/properties" ma:root="true" ma:fieldsID="1f49a05b0685027aec43c5c2c924b432" ns3:_="" ns4:_="">
    <xsd:import namespace="32678723-8c06-45e1-8bd0-318b9868a43d"/>
    <xsd:import namespace="5789755c-de38-4fe3-9623-40afa3bba1e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LengthInSeconds" minOccurs="0"/>
                <xsd:element ref="ns3:MediaServiceAutoTags" minOccurs="0"/>
                <xsd:element ref="ns3:_activity" minOccurs="0"/>
                <xsd:element ref="ns3:MediaServiceObjectDetectorVersions" minOccurs="0"/>
                <xsd:element ref="ns3:MediaServiceOCR" minOccurs="0"/>
                <xsd:element ref="ns3:MediaServiceGenerationTime" minOccurs="0"/>
                <xsd:element ref="ns3:MediaServiceEventHashCode"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678723-8c06-45e1-8bd0-318b9868a4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89755c-de38-4fe3-9623-40afa3bba1e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32678723-8c06-45e1-8bd0-318b9868a43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B23093-C261-48B3-829D-BBE9191A4A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678723-8c06-45e1-8bd0-318b9868a43d"/>
    <ds:schemaRef ds:uri="5789755c-de38-4fe3-9623-40afa3bba1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1A1D19-1745-465C-892A-33C2192162B9}">
  <ds:schemaRefs>
    <ds:schemaRef ds:uri="http://purl.org/dc/elements/1.1/"/>
    <ds:schemaRef ds:uri="5789755c-de38-4fe3-9623-40afa3bba1e2"/>
    <ds:schemaRef ds:uri="http://purl.org/dc/terms/"/>
    <ds:schemaRef ds:uri="http://www.w3.org/XML/1998/namespace"/>
    <ds:schemaRef ds:uri="http://schemas.microsoft.com/office/2006/metadata/propertie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32678723-8c06-45e1-8bd0-318b9868a43d"/>
  </ds:schemaRefs>
</ds:datastoreItem>
</file>

<file path=customXml/itemProps3.xml><?xml version="1.0" encoding="utf-8"?>
<ds:datastoreItem xmlns:ds="http://schemas.openxmlformats.org/officeDocument/2006/customXml" ds:itemID="{308EB512-ED55-4CEC-87E2-5166D8B18ED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1046</Words>
  <Characters>6063</Characters>
  <Application>Microsoft Office Word</Application>
  <DocSecurity>4</DocSecurity>
  <Lines>224</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WATKIN, Sarah (NHS SURREY HEARTLANDS ICB - 92A)</dc:creator>
  <cp:keywords/>
  <dc:description/>
  <cp:lastModifiedBy>HONEY, Linda (NHS SURREY HEARTLANDS ICB - 92A)</cp:lastModifiedBy>
  <cp:revision>2</cp:revision>
  <dcterms:created xsi:type="dcterms:W3CDTF">2026-03-24T09:41:00Z</dcterms:created>
  <dcterms:modified xsi:type="dcterms:W3CDTF">2026-03-24T09:41:00Z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0x010100831AA938FE962A45A3E19DCBCF209F91</vt:lpwstr>
  </property>
</Properties>
</file>